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68" w:rsidRDefault="00426768" w:rsidP="00426768">
      <w:pPr>
        <w:spacing w:after="0" w:line="28" w:lineRule="atLeast"/>
        <w:jc w:val="center"/>
        <w:rPr>
          <w:b/>
        </w:rPr>
      </w:pPr>
      <w:r w:rsidRPr="00426768">
        <w:rPr>
          <w:b/>
        </w:rPr>
        <w:t>ΥΠΟΜΝΗΜΑ</w:t>
      </w:r>
    </w:p>
    <w:p w:rsidR="00426768" w:rsidRDefault="00426768" w:rsidP="00426768">
      <w:pPr>
        <w:spacing w:after="0" w:line="28" w:lineRule="atLeast"/>
        <w:jc w:val="center"/>
        <w:rPr>
          <w:b/>
        </w:rPr>
      </w:pPr>
      <w:r>
        <w:rPr>
          <w:b/>
        </w:rPr>
        <w:t>ΓΙΑ ΤΑ ΠΡΟΒΛΗΜΑΤΑ ΕΦΑΡΜΟΓΗΣ ΤΗΣ «</w:t>
      </w:r>
      <w:r w:rsidRPr="00426768">
        <w:rPr>
          <w:b/>
        </w:rPr>
        <w:t>ΚΑΤΑ ΠΑΡΕΚΚΛΙΣΗ ΤΩΝ ΙΣΧΥΟΥΣΩΝ ΔΙΑΤΑΞΕΩΝ</w:t>
      </w:r>
      <w:r>
        <w:rPr>
          <w:b/>
        </w:rPr>
        <w:t>»</w:t>
      </w:r>
      <w:r w:rsidRPr="00426768">
        <w:rPr>
          <w:b/>
        </w:rPr>
        <w:t xml:space="preserve"> ΙΔΡΥΣΗ</w:t>
      </w:r>
      <w:r>
        <w:rPr>
          <w:b/>
        </w:rPr>
        <w:t>Σ</w:t>
      </w:r>
      <w:r w:rsidRPr="00426768">
        <w:rPr>
          <w:b/>
        </w:rPr>
        <w:t xml:space="preserve"> ΜΗ ΚΥΡΙΩΝ ΤΟΥΡΙΣΤΙΚΩΝ ΚΑΤΑΛΥΜΑΤΩΝ ΚΑΙ ΧΩΡΩΝ ΕΣΤΙΑΣΗΣ</w:t>
      </w:r>
    </w:p>
    <w:p w:rsidR="00426768" w:rsidRPr="00426768" w:rsidRDefault="00426768" w:rsidP="00426768">
      <w:pPr>
        <w:spacing w:after="0" w:line="28" w:lineRule="atLeast"/>
        <w:jc w:val="center"/>
        <w:rPr>
          <w:b/>
        </w:rPr>
      </w:pPr>
      <w:r w:rsidRPr="00426768">
        <w:rPr>
          <w:b/>
        </w:rPr>
        <w:t xml:space="preserve">ΣΕ ΟΙΝΟΠΟΙΕΙΑ ΚΑΙ ΑΜΠΕΛΩΝΕΣ </w:t>
      </w:r>
      <w:r>
        <w:rPr>
          <w:b/>
        </w:rPr>
        <w:t>Ε</w:t>
      </w:r>
      <w:r w:rsidRPr="00426768">
        <w:rPr>
          <w:b/>
        </w:rPr>
        <w:t>ΚΤΟΣ ΣΧΕΔΙΟΥ</w:t>
      </w:r>
    </w:p>
    <w:p w:rsidR="00196386" w:rsidRPr="00196386" w:rsidRDefault="00DD6CF7" w:rsidP="00426768">
      <w:pPr>
        <w:autoSpaceDE w:val="0"/>
        <w:autoSpaceDN w:val="0"/>
        <w:adjustRightInd w:val="0"/>
        <w:spacing w:after="0" w:line="28" w:lineRule="atLeast"/>
        <w:jc w:val="both"/>
        <w:rPr>
          <w:rFonts w:ascii="Calibri" w:hAnsi="Calibri" w:cs="MgHelveticaUCPol-Italic"/>
          <w:iCs/>
          <w:sz w:val="24"/>
          <w:szCs w:val="24"/>
        </w:rPr>
      </w:pPr>
      <w:r w:rsidRPr="00DD6CF7">
        <w:rPr>
          <w:rFonts w:ascii="Calibri" w:hAnsi="Calibri"/>
          <w:sz w:val="24"/>
          <w:szCs w:val="24"/>
        </w:rPr>
        <w:t xml:space="preserve">         </w:t>
      </w:r>
      <w:r w:rsidR="00196386" w:rsidRPr="00196386">
        <w:rPr>
          <w:rFonts w:ascii="Calibri" w:hAnsi="Calibri"/>
          <w:sz w:val="24"/>
          <w:szCs w:val="24"/>
        </w:rPr>
        <w:t>Στο Άρθρο 25 του Ν. 4276-</w:t>
      </w:r>
      <w:r w:rsidRPr="00DD6CF7">
        <w:rPr>
          <w:rFonts w:ascii="Calibri" w:hAnsi="Calibri"/>
          <w:sz w:val="24"/>
          <w:szCs w:val="24"/>
        </w:rPr>
        <w:t>20</w:t>
      </w:r>
      <w:r w:rsidR="00196386" w:rsidRPr="00196386">
        <w:rPr>
          <w:rFonts w:ascii="Calibri" w:hAnsi="Calibri"/>
          <w:sz w:val="24"/>
          <w:szCs w:val="24"/>
        </w:rPr>
        <w:t>14 «</w:t>
      </w:r>
      <w:r w:rsidR="00196386" w:rsidRPr="00196386">
        <w:rPr>
          <w:rFonts w:ascii="Calibri" w:hAnsi="Calibri" w:cs="MgHelveticaUCPol-Italic"/>
          <w:iCs/>
          <w:sz w:val="24"/>
          <w:szCs w:val="24"/>
        </w:rPr>
        <w:t>Απλούστευση διαδικασιών λειτουργίας τουριστι</w:t>
      </w:r>
      <w:r w:rsidR="009A7FAB">
        <w:rPr>
          <w:rFonts w:ascii="Calibri" w:hAnsi="Calibri" w:cs="MgHelveticaUCPol-Italic"/>
          <w:iCs/>
          <w:sz w:val="24"/>
          <w:szCs w:val="24"/>
        </w:rPr>
        <w:t>-</w:t>
      </w:r>
      <w:r w:rsidR="00196386" w:rsidRPr="00196386">
        <w:rPr>
          <w:rFonts w:ascii="Calibri" w:hAnsi="Calibri" w:cs="MgHelveticaUCPol-Italic"/>
          <w:iCs/>
          <w:sz w:val="24"/>
          <w:szCs w:val="24"/>
        </w:rPr>
        <w:t>κών επιχειρήσεων και τουριστικών υποδομών, ειδικές μορφές τουρισμού και άλλες διατάξεις</w:t>
      </w:r>
      <w:r w:rsidR="00196386">
        <w:rPr>
          <w:rFonts w:ascii="Calibri" w:hAnsi="Calibri" w:cs="MgHelveticaUCPol-Italic"/>
          <w:iCs/>
          <w:sz w:val="24"/>
          <w:szCs w:val="24"/>
        </w:rPr>
        <w:t xml:space="preserve"> </w:t>
      </w:r>
      <w:r w:rsidR="00196386" w:rsidRPr="00196386">
        <w:rPr>
          <w:rFonts w:ascii="Calibri" w:hAnsi="Calibri"/>
          <w:sz w:val="24"/>
          <w:szCs w:val="24"/>
        </w:rPr>
        <w:t>(ΦΕΚ 155Α /</w:t>
      </w:r>
      <w:r w:rsidR="00196386" w:rsidRPr="00196386">
        <w:rPr>
          <w:rFonts w:ascii="Calibri" w:hAnsi="Calibri"/>
          <w:sz w:val="24"/>
          <w:szCs w:val="24"/>
          <w:vertAlign w:val="superscript"/>
        </w:rPr>
        <w:t xml:space="preserve"> </w:t>
      </w:r>
      <w:r w:rsidR="00196386" w:rsidRPr="00196386">
        <w:rPr>
          <w:rFonts w:ascii="Calibri" w:hAnsi="Calibri" w:cs="MgHelveticaUCPol"/>
          <w:sz w:val="24"/>
          <w:szCs w:val="24"/>
        </w:rPr>
        <w:t>30 Ιουλίου 2014</w:t>
      </w:r>
      <w:r w:rsidR="00196386" w:rsidRPr="00196386">
        <w:rPr>
          <w:rFonts w:ascii="Calibri" w:hAnsi="Calibri"/>
          <w:sz w:val="24"/>
          <w:szCs w:val="24"/>
        </w:rPr>
        <w:t>)</w:t>
      </w:r>
      <w:r w:rsidR="00196386">
        <w:rPr>
          <w:rFonts w:ascii="Calibri" w:hAnsi="Calibri"/>
          <w:sz w:val="24"/>
          <w:szCs w:val="24"/>
        </w:rPr>
        <w:t xml:space="preserve">, γίνεται για πρώτη φορά </w:t>
      </w:r>
      <w:r w:rsidR="00BE48B0">
        <w:rPr>
          <w:rFonts w:ascii="Calibri" w:hAnsi="Calibri"/>
          <w:sz w:val="24"/>
          <w:szCs w:val="24"/>
        </w:rPr>
        <w:t>θεσμοθέτηση του</w:t>
      </w:r>
      <w:r w:rsidR="00196386">
        <w:rPr>
          <w:rFonts w:ascii="Calibri" w:hAnsi="Calibri"/>
          <w:sz w:val="24"/>
          <w:szCs w:val="24"/>
        </w:rPr>
        <w:t xml:space="preserve"> </w:t>
      </w:r>
      <w:proofErr w:type="spellStart"/>
      <w:r w:rsidR="00196386">
        <w:rPr>
          <w:rFonts w:ascii="Calibri" w:hAnsi="Calibri"/>
          <w:sz w:val="24"/>
          <w:szCs w:val="24"/>
        </w:rPr>
        <w:t>οινοτουρισμ</w:t>
      </w:r>
      <w:r w:rsidR="00BE48B0">
        <w:rPr>
          <w:rFonts w:ascii="Calibri" w:hAnsi="Calibri"/>
          <w:sz w:val="24"/>
          <w:szCs w:val="24"/>
        </w:rPr>
        <w:t>ού</w:t>
      </w:r>
      <w:proofErr w:type="spellEnd"/>
      <w:r w:rsidR="00196386">
        <w:rPr>
          <w:rFonts w:ascii="Calibri" w:hAnsi="Calibri"/>
          <w:sz w:val="24"/>
          <w:szCs w:val="24"/>
        </w:rPr>
        <w:t>, ως ειδική</w:t>
      </w:r>
      <w:r w:rsidR="00BE48B0">
        <w:rPr>
          <w:rFonts w:ascii="Calibri" w:hAnsi="Calibri"/>
          <w:sz w:val="24"/>
          <w:szCs w:val="24"/>
        </w:rPr>
        <w:t>ς</w:t>
      </w:r>
      <w:r w:rsidR="00196386">
        <w:rPr>
          <w:rFonts w:ascii="Calibri" w:hAnsi="Calibri"/>
          <w:sz w:val="24"/>
          <w:szCs w:val="24"/>
        </w:rPr>
        <w:t xml:space="preserve"> μορφή</w:t>
      </w:r>
      <w:r w:rsidR="00BE48B0">
        <w:rPr>
          <w:rFonts w:ascii="Calibri" w:hAnsi="Calibri"/>
          <w:sz w:val="24"/>
          <w:szCs w:val="24"/>
        </w:rPr>
        <w:t>ς</w:t>
      </w:r>
      <w:r w:rsidR="00196386">
        <w:rPr>
          <w:rFonts w:ascii="Calibri" w:hAnsi="Calibri"/>
          <w:sz w:val="24"/>
          <w:szCs w:val="24"/>
        </w:rPr>
        <w:t xml:space="preserve"> τουρισμού, με τις εξής προβλέψεις:</w:t>
      </w:r>
    </w:p>
    <w:p w:rsidR="005A20B7" w:rsidRPr="00DD6CF7" w:rsidRDefault="00DD6CF7" w:rsidP="00426768">
      <w:pPr>
        <w:autoSpaceDE w:val="0"/>
        <w:autoSpaceDN w:val="0"/>
        <w:adjustRightInd w:val="0"/>
        <w:spacing w:after="0" w:line="28" w:lineRule="atLeast"/>
        <w:jc w:val="both"/>
        <w:rPr>
          <w:rFonts w:ascii="Calibri" w:hAnsi="Calibri" w:cs="MgHelveticaUCPol-Italic"/>
          <w:iCs/>
          <w:sz w:val="24"/>
          <w:szCs w:val="24"/>
        </w:rPr>
      </w:pPr>
      <w:r w:rsidRPr="00DD6CF7">
        <w:rPr>
          <w:rFonts w:ascii="Calibri" w:hAnsi="Calibri" w:cs="MgHelveticaUCPol-Italic"/>
          <w:iCs/>
          <w:sz w:val="24"/>
          <w:szCs w:val="24"/>
        </w:rPr>
        <w:t xml:space="preserve">       </w:t>
      </w:r>
      <w:r w:rsidR="00196386" w:rsidRPr="00196386">
        <w:rPr>
          <w:rFonts w:ascii="Calibri" w:hAnsi="Calibri" w:cs="MgHelveticaUCPol-Italic"/>
          <w:iCs/>
          <w:sz w:val="24"/>
          <w:szCs w:val="24"/>
        </w:rPr>
        <w:t xml:space="preserve">1) Την δυνατότητα της </w:t>
      </w:r>
      <w:r w:rsidR="00196386" w:rsidRPr="00945640">
        <w:rPr>
          <w:rFonts w:ascii="Calibri" w:hAnsi="Calibri" w:cs="MgHelveticaUCPol-Italic"/>
          <w:iCs/>
          <w:sz w:val="24"/>
          <w:szCs w:val="24"/>
          <w:u w:val="single"/>
        </w:rPr>
        <w:t>κατά παρέκκλιση των ισχυουσών διατάξεων</w:t>
      </w:r>
      <w:r w:rsidR="00196386" w:rsidRPr="00196386">
        <w:rPr>
          <w:rFonts w:ascii="Calibri" w:hAnsi="Calibri" w:cs="MgHelveticaUCPol-Italic"/>
          <w:iCs/>
          <w:sz w:val="24"/>
          <w:szCs w:val="24"/>
        </w:rPr>
        <w:t xml:space="preserve"> ίδρυσης μέσα στα όρια των οινοποιητικών ή και </w:t>
      </w:r>
      <w:proofErr w:type="spellStart"/>
      <w:r w:rsidR="00196386" w:rsidRPr="00196386">
        <w:rPr>
          <w:rFonts w:ascii="Calibri" w:hAnsi="Calibri" w:cs="MgHelveticaUCPol-Italic"/>
          <w:iCs/>
          <w:sz w:val="24"/>
          <w:szCs w:val="24"/>
        </w:rPr>
        <w:t>οινοπαραγωγικών</w:t>
      </w:r>
      <w:proofErr w:type="spellEnd"/>
      <w:r w:rsidR="00196386" w:rsidRPr="00196386">
        <w:rPr>
          <w:rFonts w:ascii="Calibri" w:hAnsi="Calibri" w:cs="MgHelveticaUCPol-Italic"/>
          <w:iCs/>
          <w:sz w:val="24"/>
          <w:szCs w:val="24"/>
        </w:rPr>
        <w:t xml:space="preserve"> </w:t>
      </w:r>
      <w:r w:rsidR="005C7603">
        <w:rPr>
          <w:rFonts w:ascii="Calibri" w:hAnsi="Calibri" w:cs="MgHelveticaUCPol-Italic"/>
          <w:iCs/>
          <w:sz w:val="24"/>
          <w:szCs w:val="24"/>
        </w:rPr>
        <w:t>(</w:t>
      </w:r>
      <w:r w:rsidR="005C7603" w:rsidRPr="00E975D1">
        <w:rPr>
          <w:rFonts w:ascii="Calibri" w:hAnsi="Calibri" w:cs="MgHelveticaUCPol"/>
        </w:rPr>
        <w:t>αμπελών</w:t>
      </w:r>
      <w:r w:rsidR="005C7603">
        <w:rPr>
          <w:rFonts w:ascii="Calibri" w:hAnsi="Calibri" w:cs="MgHelveticaUCPol"/>
        </w:rPr>
        <w:t>ων)</w:t>
      </w:r>
      <w:r w:rsidR="005C7603" w:rsidRPr="00196386">
        <w:rPr>
          <w:rFonts w:ascii="Calibri" w:hAnsi="Calibri" w:cs="MgHelveticaUCPol-Italic"/>
          <w:iCs/>
          <w:sz w:val="24"/>
          <w:szCs w:val="24"/>
        </w:rPr>
        <w:t xml:space="preserve"> </w:t>
      </w:r>
      <w:r w:rsidR="00196386" w:rsidRPr="00196386">
        <w:rPr>
          <w:rFonts w:ascii="Calibri" w:hAnsi="Calibri" w:cs="MgHelveticaUCPol-Italic"/>
          <w:iCs/>
          <w:sz w:val="24"/>
          <w:szCs w:val="24"/>
        </w:rPr>
        <w:t xml:space="preserve">εγκαταστάσεων μη κύριων τουριστικών καταλυμάτων και χώρων εστίασης (παράγραφος 1 </w:t>
      </w:r>
      <w:r w:rsidR="005C7603">
        <w:rPr>
          <w:rFonts w:ascii="Calibri" w:hAnsi="Calibri" w:cs="MgHelveticaUCPol-Italic"/>
          <w:iCs/>
          <w:sz w:val="24"/>
          <w:szCs w:val="24"/>
        </w:rPr>
        <w:t>Ά</w:t>
      </w:r>
      <w:r w:rsidR="00196386" w:rsidRPr="00196386">
        <w:rPr>
          <w:rFonts w:ascii="Calibri" w:hAnsi="Calibri" w:cs="MgHelveticaUCPol-Italic"/>
          <w:iCs/>
          <w:sz w:val="24"/>
          <w:szCs w:val="24"/>
        </w:rPr>
        <w:t>ρθρου 25)</w:t>
      </w:r>
      <w:r w:rsidR="00A241EE">
        <w:rPr>
          <w:rFonts w:ascii="Calibri" w:hAnsi="Calibri" w:cs="MgHelveticaUCPol-Italic"/>
          <w:iCs/>
          <w:sz w:val="24"/>
          <w:szCs w:val="24"/>
        </w:rPr>
        <w:t>.</w:t>
      </w:r>
    </w:p>
    <w:p w:rsidR="005A20B7" w:rsidRPr="00DD6CF7" w:rsidRDefault="00DD6CF7" w:rsidP="00426768">
      <w:pPr>
        <w:autoSpaceDE w:val="0"/>
        <w:autoSpaceDN w:val="0"/>
        <w:adjustRightInd w:val="0"/>
        <w:spacing w:after="0" w:line="28" w:lineRule="atLeast"/>
        <w:jc w:val="both"/>
        <w:rPr>
          <w:rFonts w:ascii="Calibri" w:hAnsi="Calibri" w:cs="MgHelveticaUCPol-Italic"/>
          <w:iCs/>
          <w:sz w:val="24"/>
          <w:szCs w:val="24"/>
        </w:rPr>
      </w:pPr>
      <w:r w:rsidRPr="00DD6CF7">
        <w:rPr>
          <w:rFonts w:ascii="Calibri" w:hAnsi="Calibri" w:cs="MgHelveticaUCPol-Italic"/>
          <w:iCs/>
          <w:sz w:val="24"/>
          <w:szCs w:val="24"/>
        </w:rPr>
        <w:t xml:space="preserve">       </w:t>
      </w:r>
      <w:r w:rsidR="005A20B7" w:rsidRPr="00196386">
        <w:rPr>
          <w:rFonts w:ascii="Calibri" w:hAnsi="Calibri" w:cs="MgHelveticaUCPol-Italic"/>
          <w:iCs/>
          <w:sz w:val="24"/>
          <w:szCs w:val="24"/>
        </w:rPr>
        <w:t>2)</w:t>
      </w:r>
      <w:r w:rsidR="005A20B7">
        <w:rPr>
          <w:rFonts w:ascii="Calibri" w:hAnsi="Calibri" w:cs="MgHelveticaUCPol-Italic"/>
          <w:iCs/>
          <w:sz w:val="24"/>
          <w:szCs w:val="24"/>
        </w:rPr>
        <w:t xml:space="preserve"> Τη θέσπιση «Σήματος Επισκέψιμου Οινοποιείου», με την οποία μπορεί να εφοδιαστεί μια </w:t>
      </w:r>
      <w:r w:rsidR="005A20B7" w:rsidRPr="0099799F">
        <w:rPr>
          <w:rFonts w:ascii="Calibri" w:hAnsi="Calibri" w:cs="MgHelveticaUCPol-Italic"/>
          <w:iCs/>
          <w:sz w:val="24"/>
          <w:szCs w:val="24"/>
        </w:rPr>
        <w:t xml:space="preserve">οινοποιητική ή και </w:t>
      </w:r>
      <w:proofErr w:type="spellStart"/>
      <w:r w:rsidR="005A20B7" w:rsidRPr="0099799F">
        <w:rPr>
          <w:rFonts w:ascii="Calibri" w:hAnsi="Calibri" w:cs="MgHelveticaUCPol-Italic"/>
          <w:iCs/>
          <w:sz w:val="24"/>
          <w:szCs w:val="24"/>
        </w:rPr>
        <w:t>οινοπαραγωγική</w:t>
      </w:r>
      <w:proofErr w:type="spellEnd"/>
      <w:r w:rsidR="005A20B7" w:rsidRPr="0099799F">
        <w:rPr>
          <w:rFonts w:ascii="Calibri" w:hAnsi="Calibri" w:cs="MgHelveticaUCPol-Italic"/>
          <w:iCs/>
          <w:sz w:val="24"/>
          <w:szCs w:val="24"/>
        </w:rPr>
        <w:t xml:space="preserve"> εγκατάσταση που χαρακτηρίζεται  </w:t>
      </w:r>
      <w:proofErr w:type="spellStart"/>
      <w:r w:rsidR="005A20B7" w:rsidRPr="0099799F">
        <w:rPr>
          <w:rFonts w:ascii="Calibri" w:hAnsi="Calibri" w:cs="MgHelveticaUCPol-Italic"/>
          <w:iCs/>
          <w:sz w:val="24"/>
          <w:szCs w:val="24"/>
        </w:rPr>
        <w:t>οινοτουριστική</w:t>
      </w:r>
      <w:proofErr w:type="spellEnd"/>
      <w:r w:rsidR="005A20B7" w:rsidRPr="0099799F">
        <w:rPr>
          <w:rFonts w:ascii="Calibri" w:hAnsi="Calibri" w:cs="MgHelveticaUCPol-Italic"/>
          <w:iCs/>
          <w:sz w:val="24"/>
          <w:szCs w:val="24"/>
        </w:rPr>
        <w:t xml:space="preserve"> εφ’ όσον</w:t>
      </w:r>
      <w:r w:rsidR="005A20B7">
        <w:rPr>
          <w:rFonts w:ascii="Calibri" w:hAnsi="Calibri" w:cs="MgHelveticaUCPol-Italic"/>
          <w:iCs/>
          <w:sz w:val="24"/>
          <w:szCs w:val="24"/>
        </w:rPr>
        <w:t xml:space="preserve"> </w:t>
      </w:r>
      <w:r w:rsidR="005A20B7" w:rsidRPr="0099799F">
        <w:rPr>
          <w:rFonts w:ascii="Calibri" w:hAnsi="Calibri" w:cs="MgHelveticaUCPol-Italic"/>
          <w:iCs/>
          <w:sz w:val="24"/>
          <w:szCs w:val="24"/>
        </w:rPr>
        <w:t>παρέχει υπηρεσίες είτε ξενάγησης είτε υποδοχής και φιλοξενίας σε μη κύρια τουριστικά καταλύματα είτε εστίασης είτε το σύνολο των ως άνω υπηρεσιών</w:t>
      </w:r>
      <w:r w:rsidR="005A20B7">
        <w:rPr>
          <w:rFonts w:ascii="Calibri" w:hAnsi="Calibri" w:cs="MgHelveticaUCPol-Italic"/>
          <w:iCs/>
          <w:sz w:val="24"/>
          <w:szCs w:val="24"/>
        </w:rPr>
        <w:t xml:space="preserve"> ή</w:t>
      </w:r>
      <w:r w:rsidR="005A20B7" w:rsidRPr="0099799F">
        <w:rPr>
          <w:rFonts w:ascii="Calibri" w:hAnsi="Calibri" w:cs="MgHelveticaUCPol-Italic"/>
          <w:iCs/>
          <w:sz w:val="24"/>
          <w:szCs w:val="24"/>
        </w:rPr>
        <w:t xml:space="preserve"> διαθέτει χώρους και εγκαταστάσεις ειδικών προδιαγραφών που διασφαλίζουν την </w:t>
      </w:r>
      <w:proofErr w:type="spellStart"/>
      <w:r w:rsidR="005A20B7" w:rsidRPr="0099799F">
        <w:rPr>
          <w:rFonts w:ascii="Calibri" w:hAnsi="Calibri" w:cs="MgHelveticaUCPol-Italic"/>
          <w:iCs/>
          <w:sz w:val="24"/>
          <w:szCs w:val="24"/>
        </w:rPr>
        <w:t>επισκεψιμότητα</w:t>
      </w:r>
      <w:proofErr w:type="spellEnd"/>
      <w:r w:rsidR="005A20B7">
        <w:rPr>
          <w:rFonts w:ascii="Calibri" w:hAnsi="Calibri" w:cs="MgHelveticaUCPol-Italic"/>
          <w:iCs/>
          <w:sz w:val="24"/>
          <w:szCs w:val="24"/>
        </w:rPr>
        <w:t xml:space="preserve"> (</w:t>
      </w:r>
      <w:proofErr w:type="spellStart"/>
      <w:r w:rsidR="005A20B7">
        <w:rPr>
          <w:rFonts w:ascii="Calibri" w:hAnsi="Calibri" w:cs="MgHelveticaUCPol-Italic"/>
          <w:iCs/>
          <w:sz w:val="24"/>
          <w:szCs w:val="24"/>
        </w:rPr>
        <w:t>εδαφ</w:t>
      </w:r>
      <w:proofErr w:type="spellEnd"/>
      <w:r w:rsidR="005A20B7">
        <w:rPr>
          <w:rFonts w:ascii="Calibri" w:hAnsi="Calibri" w:cs="MgHelveticaUCPol-Italic"/>
          <w:iCs/>
          <w:sz w:val="24"/>
          <w:szCs w:val="24"/>
        </w:rPr>
        <w:t xml:space="preserve">. α και β παραγράφου 2 άρθρου 25).  </w:t>
      </w:r>
    </w:p>
    <w:p w:rsidR="00A241EE" w:rsidRDefault="00DD6CF7" w:rsidP="00426768">
      <w:pPr>
        <w:autoSpaceDE w:val="0"/>
        <w:autoSpaceDN w:val="0"/>
        <w:adjustRightInd w:val="0"/>
        <w:spacing w:after="0" w:line="28" w:lineRule="atLeast"/>
        <w:jc w:val="both"/>
        <w:rPr>
          <w:rFonts w:ascii="Calibri" w:hAnsi="Calibri" w:cs="MgHelveticaUCPol-Italic"/>
          <w:iCs/>
          <w:sz w:val="24"/>
          <w:szCs w:val="24"/>
        </w:rPr>
      </w:pPr>
      <w:r w:rsidRPr="00DD6CF7">
        <w:rPr>
          <w:rFonts w:ascii="Calibri" w:hAnsi="Calibri" w:cs="MgHelveticaUCPol-Italic"/>
          <w:iCs/>
          <w:sz w:val="24"/>
          <w:szCs w:val="24"/>
        </w:rPr>
        <w:t xml:space="preserve">          </w:t>
      </w:r>
      <w:r w:rsidR="005A20B7" w:rsidRPr="0099799F">
        <w:rPr>
          <w:rFonts w:ascii="Calibri" w:hAnsi="Calibri" w:cs="MgHelveticaUCPol-Italic"/>
          <w:iCs/>
          <w:sz w:val="24"/>
          <w:szCs w:val="24"/>
        </w:rPr>
        <w:t xml:space="preserve">Οι </w:t>
      </w:r>
      <w:r w:rsidR="005A20B7" w:rsidRPr="00BD5566">
        <w:rPr>
          <w:rFonts w:ascii="Calibri" w:hAnsi="Calibri" w:cs="MgHelveticaUCPol-Italic"/>
          <w:iCs/>
          <w:sz w:val="24"/>
          <w:szCs w:val="24"/>
        </w:rPr>
        <w:t xml:space="preserve">τεχνικές και λειτουργικές προδιαγραφές </w:t>
      </w:r>
      <w:r w:rsidR="005A20B7">
        <w:rPr>
          <w:rFonts w:ascii="Calibri" w:hAnsi="Calibri" w:cs="MgHelveticaUCPol-Italic"/>
          <w:iCs/>
          <w:sz w:val="24"/>
          <w:szCs w:val="24"/>
        </w:rPr>
        <w:t xml:space="preserve">όλων </w:t>
      </w:r>
      <w:r w:rsidR="005A20B7" w:rsidRPr="00BD5566">
        <w:rPr>
          <w:rFonts w:ascii="Calibri" w:hAnsi="Calibri" w:cs="MgHelveticaUCPol-Italic"/>
          <w:iCs/>
          <w:sz w:val="24"/>
          <w:szCs w:val="24"/>
        </w:rPr>
        <w:t>των εν λόγω εγκαταστάσεων καθορίζονται με την ΚΥΑ 1746/2015 «Καθορισμός των προδιαγραφών για τις υπηρεσίες του άρθρου 25 του Ν. 4276/2014</w:t>
      </w:r>
      <w:r w:rsidR="00BE48B0">
        <w:rPr>
          <w:rFonts w:ascii="Calibri" w:hAnsi="Calibri" w:cs="MgHelveticaUCPol-Italic"/>
          <w:iCs/>
          <w:sz w:val="24"/>
          <w:szCs w:val="24"/>
        </w:rPr>
        <w:t>,</w:t>
      </w:r>
      <w:r w:rsidR="005A20B7" w:rsidRPr="00BD5566">
        <w:rPr>
          <w:rFonts w:ascii="Calibri" w:hAnsi="Calibri" w:cs="MgHelveticaUCPol-Italic"/>
          <w:iCs/>
          <w:sz w:val="24"/>
          <w:szCs w:val="24"/>
        </w:rPr>
        <w:t xml:space="preserve"> των τεχνικών, λειτουργικών και ειδικών προδιαγραφών των εγκαταστάσεων των </w:t>
      </w:r>
      <w:proofErr w:type="spellStart"/>
      <w:r w:rsidR="005A20B7" w:rsidRPr="00BD5566">
        <w:rPr>
          <w:rFonts w:ascii="Calibri" w:hAnsi="Calibri" w:cs="MgHelveticaUCPol-Italic"/>
          <w:iCs/>
          <w:sz w:val="24"/>
          <w:szCs w:val="24"/>
        </w:rPr>
        <w:t>οινοτουριστικών</w:t>
      </w:r>
      <w:proofErr w:type="spellEnd"/>
      <w:r w:rsidR="005A20B7" w:rsidRPr="00BD5566">
        <w:rPr>
          <w:rFonts w:ascii="Calibri" w:hAnsi="Calibri" w:cs="MgHelveticaUCPol-Italic"/>
          <w:iCs/>
          <w:sz w:val="24"/>
          <w:szCs w:val="24"/>
        </w:rPr>
        <w:t xml:space="preserve"> επιχειρήσεων</w:t>
      </w:r>
      <w:r w:rsidR="00BE48B0">
        <w:rPr>
          <w:rFonts w:ascii="Calibri" w:hAnsi="Calibri" w:cs="MgHelveticaUCPol-Italic"/>
          <w:iCs/>
          <w:sz w:val="24"/>
          <w:szCs w:val="24"/>
        </w:rPr>
        <w:t>»</w:t>
      </w:r>
      <w:r w:rsidR="005A20B7" w:rsidRPr="00BD5566">
        <w:rPr>
          <w:rFonts w:ascii="Calibri" w:hAnsi="Calibri" w:cs="MgHelveticaUCPol-Italic"/>
          <w:iCs/>
          <w:sz w:val="24"/>
          <w:szCs w:val="24"/>
        </w:rPr>
        <w:t xml:space="preserve"> (ΦΕΚ 135 Β / 22-1-2015), </w:t>
      </w:r>
      <w:r w:rsidR="00BE48B0">
        <w:rPr>
          <w:rFonts w:ascii="Calibri" w:hAnsi="Calibri" w:cs="MgHelveticaUCPol-Italic"/>
          <w:iCs/>
          <w:sz w:val="24"/>
          <w:szCs w:val="24"/>
        </w:rPr>
        <w:t>η οποία στο Άρθρο 2</w:t>
      </w:r>
      <w:r w:rsidR="00DB4AFC">
        <w:rPr>
          <w:rFonts w:ascii="Calibri" w:hAnsi="Calibri" w:cs="MgHelveticaUCPol-Italic"/>
          <w:iCs/>
          <w:sz w:val="24"/>
          <w:szCs w:val="24"/>
        </w:rPr>
        <w:t>, προκειμένου να</w:t>
      </w:r>
      <w:r w:rsidR="00BE48B0">
        <w:rPr>
          <w:rFonts w:ascii="Calibri" w:hAnsi="Calibri" w:cs="MgHelveticaUCPol-Italic"/>
          <w:iCs/>
          <w:sz w:val="24"/>
          <w:szCs w:val="24"/>
        </w:rPr>
        <w:t xml:space="preserve"> ορίζει </w:t>
      </w:r>
      <w:r w:rsidR="005A20B7" w:rsidRPr="00BD5566">
        <w:rPr>
          <w:rFonts w:ascii="Calibri" w:hAnsi="Calibri" w:cs="MgHelveticaUCPol-Italic"/>
          <w:iCs/>
          <w:sz w:val="24"/>
          <w:szCs w:val="24"/>
        </w:rPr>
        <w:t xml:space="preserve"> </w:t>
      </w:r>
      <w:r w:rsidR="00DB4AFC">
        <w:rPr>
          <w:rFonts w:ascii="Calibri" w:hAnsi="Calibri" w:cs="MgHelveticaUCPol-Italic"/>
          <w:iCs/>
          <w:sz w:val="24"/>
          <w:szCs w:val="24"/>
        </w:rPr>
        <w:t>τις</w:t>
      </w:r>
      <w:r w:rsidR="00BE48B0" w:rsidRPr="00BE48B0">
        <w:rPr>
          <w:rFonts w:ascii="Calibri" w:hAnsi="Calibri" w:cs="MgHelveticaUCPol-Italic"/>
          <w:iCs/>
          <w:sz w:val="24"/>
          <w:szCs w:val="24"/>
        </w:rPr>
        <w:t xml:space="preserve"> ελάχιστες απαιτούμενες προδιαγραφές για τα − εντός οινοποιητικών</w:t>
      </w:r>
      <w:r w:rsidRPr="00DD6CF7">
        <w:rPr>
          <w:rFonts w:ascii="Calibri" w:hAnsi="Calibri" w:cs="MgHelveticaUCPol-Italic"/>
          <w:iCs/>
          <w:sz w:val="24"/>
          <w:szCs w:val="24"/>
        </w:rPr>
        <w:t xml:space="preserve"> </w:t>
      </w:r>
      <w:r w:rsidR="00BE48B0" w:rsidRPr="00BE48B0">
        <w:rPr>
          <w:rFonts w:ascii="Calibri" w:hAnsi="Calibri" w:cs="MgHelveticaUCPol-Italic"/>
          <w:iCs/>
          <w:sz w:val="24"/>
          <w:szCs w:val="24"/>
        </w:rPr>
        <w:t xml:space="preserve">/ </w:t>
      </w:r>
      <w:proofErr w:type="spellStart"/>
      <w:r w:rsidR="00BE48B0" w:rsidRPr="00BE48B0">
        <w:rPr>
          <w:rFonts w:ascii="Calibri" w:hAnsi="Calibri" w:cs="MgHelveticaUCPol-Italic"/>
          <w:iCs/>
          <w:sz w:val="24"/>
          <w:szCs w:val="24"/>
        </w:rPr>
        <w:t>οινοπαραγωγικών</w:t>
      </w:r>
      <w:proofErr w:type="spellEnd"/>
      <w:r w:rsidR="00BE48B0" w:rsidRPr="00BE48B0">
        <w:rPr>
          <w:rFonts w:ascii="Calibri" w:hAnsi="Calibri" w:cs="MgHelveticaUCPol-Italic"/>
          <w:iCs/>
          <w:sz w:val="24"/>
          <w:szCs w:val="24"/>
        </w:rPr>
        <w:t xml:space="preserve"> εγκαταστάσεων</w:t>
      </w:r>
      <w:r w:rsidRPr="00DD6CF7">
        <w:rPr>
          <w:rFonts w:ascii="Calibri" w:hAnsi="Calibri" w:cs="MgHelveticaUCPol-Italic"/>
          <w:iCs/>
          <w:sz w:val="24"/>
          <w:szCs w:val="24"/>
        </w:rPr>
        <w:t xml:space="preserve"> </w:t>
      </w:r>
      <w:r w:rsidR="00BE48B0" w:rsidRPr="00BE48B0">
        <w:rPr>
          <w:rFonts w:ascii="Calibri" w:hAnsi="Calibri" w:cs="MgHelveticaUCPol-Italic"/>
          <w:iCs/>
          <w:sz w:val="24"/>
          <w:szCs w:val="24"/>
        </w:rPr>
        <w:t xml:space="preserve">− ιδρυόμενα μη κύρια ξενοδοχειακά καταλύματα </w:t>
      </w:r>
      <w:r w:rsidR="00DB4AFC">
        <w:rPr>
          <w:rFonts w:ascii="Calibri" w:hAnsi="Calibri" w:cs="MgHelveticaUCPol-Italic"/>
          <w:iCs/>
          <w:sz w:val="24"/>
          <w:szCs w:val="24"/>
        </w:rPr>
        <w:t xml:space="preserve">παραπέμπει στη </w:t>
      </w:r>
      <w:proofErr w:type="spellStart"/>
      <w:r w:rsidR="00DB4AFC">
        <w:rPr>
          <w:rFonts w:ascii="Calibri" w:hAnsi="Calibri" w:cs="MgHelveticaUCPol-Italic"/>
          <w:iCs/>
          <w:sz w:val="24"/>
          <w:szCs w:val="24"/>
        </w:rPr>
        <w:t>παραγρ</w:t>
      </w:r>
      <w:proofErr w:type="spellEnd"/>
      <w:r w:rsidR="00DB4AFC">
        <w:rPr>
          <w:rFonts w:ascii="Calibri" w:hAnsi="Calibri" w:cs="MgHelveticaUCPol-Italic"/>
          <w:iCs/>
          <w:sz w:val="24"/>
          <w:szCs w:val="24"/>
        </w:rPr>
        <w:t xml:space="preserve">. 2 </w:t>
      </w:r>
      <w:proofErr w:type="spellStart"/>
      <w:r w:rsidR="00DB4AFC">
        <w:rPr>
          <w:rFonts w:ascii="Calibri" w:hAnsi="Calibri" w:cs="MgHelveticaUCPol-Italic"/>
          <w:iCs/>
          <w:sz w:val="24"/>
          <w:szCs w:val="24"/>
        </w:rPr>
        <w:t>υποπαραγρ</w:t>
      </w:r>
      <w:proofErr w:type="spellEnd"/>
      <w:r w:rsidR="00DB4AFC">
        <w:rPr>
          <w:rFonts w:ascii="Calibri" w:hAnsi="Calibri" w:cs="MgHelveticaUCPol-Italic"/>
          <w:iCs/>
          <w:sz w:val="24"/>
          <w:szCs w:val="24"/>
        </w:rPr>
        <w:t>. Β του</w:t>
      </w:r>
      <w:r w:rsidR="00DB4AFC" w:rsidRPr="00DB4AFC">
        <w:rPr>
          <w:rFonts w:ascii="Calibri" w:hAnsi="Calibri" w:cs="MgHelveticaUCPol-Italic"/>
          <w:iCs/>
          <w:sz w:val="24"/>
          <w:szCs w:val="24"/>
        </w:rPr>
        <w:t xml:space="preserve"> </w:t>
      </w:r>
      <w:r w:rsidR="00DB4AFC">
        <w:rPr>
          <w:rFonts w:ascii="Calibri" w:hAnsi="Calibri" w:cs="MgHelveticaUCPol-Italic"/>
          <w:iCs/>
          <w:sz w:val="24"/>
          <w:szCs w:val="24"/>
        </w:rPr>
        <w:t xml:space="preserve">Άρθρου 1 του </w:t>
      </w:r>
      <w:r w:rsidR="00DB4AFC" w:rsidRPr="00A241EE">
        <w:rPr>
          <w:rFonts w:ascii="Calibri" w:hAnsi="Calibri" w:cs="MgHelveticaUCPol-Italic"/>
          <w:iCs/>
          <w:sz w:val="24"/>
          <w:szCs w:val="24"/>
        </w:rPr>
        <w:t xml:space="preserve">4276/14, </w:t>
      </w:r>
      <w:r w:rsidR="00DB4AFC">
        <w:rPr>
          <w:rFonts w:ascii="Calibri" w:hAnsi="Calibri" w:cs="MgHelveticaUCPol-Italic"/>
          <w:iCs/>
          <w:sz w:val="24"/>
          <w:szCs w:val="24"/>
        </w:rPr>
        <w:t xml:space="preserve"> σύμφωνα με την οποία ως τέτοια καταλύματα </w:t>
      </w:r>
      <w:r w:rsidR="00A241EE" w:rsidRPr="00A241EE">
        <w:rPr>
          <w:rFonts w:ascii="Calibri" w:hAnsi="Calibri" w:cs="MgHelveticaUCPol-Italic"/>
          <w:iCs/>
          <w:sz w:val="24"/>
          <w:szCs w:val="24"/>
        </w:rPr>
        <w:t xml:space="preserve">χαρακτηρίζονται τα εξής:  </w:t>
      </w:r>
    </w:p>
    <w:p w:rsidR="00A241EE" w:rsidRPr="005C7603" w:rsidRDefault="00A241EE" w:rsidP="00426768">
      <w:pPr>
        <w:pStyle w:val="a3"/>
        <w:numPr>
          <w:ilvl w:val="0"/>
          <w:numId w:val="1"/>
        </w:numPr>
        <w:spacing w:after="0" w:line="28" w:lineRule="atLeast"/>
        <w:jc w:val="both"/>
        <w:rPr>
          <w:rFonts w:ascii="Calibri" w:hAnsi="Calibri" w:cs="Calibri"/>
          <w:sz w:val="24"/>
          <w:szCs w:val="24"/>
        </w:rPr>
      </w:pPr>
      <w:r w:rsidRPr="005C7603">
        <w:rPr>
          <w:rFonts w:ascii="Calibri" w:hAnsi="Calibri" w:cs="Calibri"/>
          <w:b/>
          <w:sz w:val="24"/>
          <w:szCs w:val="24"/>
        </w:rPr>
        <w:t xml:space="preserve">αα. </w:t>
      </w:r>
      <w:r w:rsidR="00DB4AFC" w:rsidRPr="005C7603">
        <w:rPr>
          <w:rFonts w:ascii="Calibri" w:hAnsi="Calibri" w:cs="Calibri"/>
          <w:b/>
          <w:sz w:val="24"/>
          <w:szCs w:val="24"/>
        </w:rPr>
        <w:t>Τα α</w:t>
      </w:r>
      <w:r w:rsidRPr="005C7603">
        <w:rPr>
          <w:rFonts w:ascii="Calibri" w:hAnsi="Calibri" w:cs="Calibri"/>
          <w:b/>
          <w:sz w:val="24"/>
          <w:szCs w:val="24"/>
        </w:rPr>
        <w:t>υτοεξυπηρετούμενα καταλύματα − τουριστικές επιπλωμένες επαύλεις</w:t>
      </w:r>
      <w:r w:rsidR="00426768">
        <w:rPr>
          <w:rFonts w:ascii="Calibri" w:hAnsi="Calibri" w:cs="Calibri"/>
          <w:b/>
          <w:sz w:val="24"/>
          <w:szCs w:val="24"/>
        </w:rPr>
        <w:t xml:space="preserve"> </w:t>
      </w:r>
      <w:r w:rsidR="00DB4AFC" w:rsidRPr="005C7603">
        <w:rPr>
          <w:rFonts w:ascii="Calibri" w:hAnsi="Calibri" w:cs="Calibri"/>
          <w:b/>
          <w:sz w:val="24"/>
          <w:szCs w:val="24"/>
        </w:rPr>
        <w:t>/</w:t>
      </w:r>
      <w:r w:rsidRPr="005C7603">
        <w:rPr>
          <w:rFonts w:ascii="Calibri" w:hAnsi="Calibri" w:cs="Calibri"/>
          <w:b/>
          <w:sz w:val="24"/>
          <w:szCs w:val="24"/>
        </w:rPr>
        <w:t>βίλες (</w:t>
      </w:r>
      <w:r w:rsidRPr="005C7603">
        <w:rPr>
          <w:rFonts w:ascii="Calibri" w:hAnsi="Calibri" w:cs="Calibri"/>
          <w:sz w:val="24"/>
          <w:szCs w:val="24"/>
        </w:rPr>
        <w:t xml:space="preserve">μονοκατοικίες, επιφάνειας τουλάχιστον 80 </w:t>
      </w:r>
      <w:proofErr w:type="spellStart"/>
      <w:r w:rsidRPr="005C7603">
        <w:rPr>
          <w:rFonts w:ascii="Calibri" w:hAnsi="Calibri" w:cs="Calibri"/>
          <w:sz w:val="24"/>
          <w:szCs w:val="24"/>
        </w:rPr>
        <w:t>τ.μ</w:t>
      </w:r>
      <w:proofErr w:type="spellEnd"/>
      <w:r w:rsidRPr="005C7603">
        <w:rPr>
          <w:rFonts w:ascii="Calibri" w:hAnsi="Calibri" w:cs="Calibri"/>
          <w:sz w:val="24"/>
          <w:szCs w:val="24"/>
        </w:rPr>
        <w:t>., οι οποίες έχουν ανεξάρτητη εξωτερική προσπέλαση και παρουσιάζουν αυτοτέλεια οικοπέδου</w:t>
      </w:r>
      <w:r w:rsidR="00DB4AFC" w:rsidRPr="005C7603">
        <w:rPr>
          <w:rFonts w:ascii="Calibri" w:hAnsi="Calibri" w:cs="Calibri"/>
          <w:sz w:val="24"/>
          <w:szCs w:val="24"/>
        </w:rPr>
        <w:t xml:space="preserve"> </w:t>
      </w:r>
      <w:r w:rsidRPr="005C7603">
        <w:rPr>
          <w:rFonts w:ascii="Calibri" w:hAnsi="Calibri" w:cs="Calibri"/>
          <w:sz w:val="24"/>
          <w:szCs w:val="24"/>
        </w:rPr>
        <w:t xml:space="preserve">/γηπέδου και κτίσματος) που </w:t>
      </w:r>
      <w:r w:rsidRPr="00D83F47">
        <w:rPr>
          <w:rFonts w:ascii="Calibri" w:hAnsi="Calibri" w:cs="Calibri"/>
          <w:sz w:val="24"/>
          <w:szCs w:val="24"/>
          <w:u w:val="single"/>
        </w:rPr>
        <w:t>δομούνται με όρους δόμησης κατοικίας</w:t>
      </w:r>
      <w:r w:rsidR="00DB4AFC" w:rsidRPr="005C7603">
        <w:rPr>
          <w:rFonts w:ascii="Calibri" w:hAnsi="Calibri" w:cs="Calibri"/>
          <w:sz w:val="24"/>
          <w:szCs w:val="24"/>
        </w:rPr>
        <w:t xml:space="preserve"> (σχετική η  </w:t>
      </w:r>
      <w:proofErr w:type="spellStart"/>
      <w:r w:rsidR="00DB4AFC" w:rsidRPr="005C7603">
        <w:rPr>
          <w:rFonts w:ascii="Calibri" w:hAnsi="Calibri" w:cs="Calibri"/>
          <w:sz w:val="24"/>
          <w:szCs w:val="24"/>
        </w:rPr>
        <w:t>παραγρ</w:t>
      </w:r>
      <w:proofErr w:type="spellEnd"/>
      <w:r w:rsidR="00DB4AFC" w:rsidRPr="005C7603">
        <w:rPr>
          <w:rFonts w:ascii="Calibri" w:hAnsi="Calibri" w:cs="Calibri"/>
          <w:sz w:val="24"/>
          <w:szCs w:val="24"/>
        </w:rPr>
        <w:t>. 1 Άρθρου 1 της ΥΑ 27715/2013 (ΦΕΚ 3118 Β).</w:t>
      </w:r>
    </w:p>
    <w:p w:rsidR="00A241EE" w:rsidRPr="005C7603" w:rsidRDefault="00A241EE" w:rsidP="00426768">
      <w:pPr>
        <w:pStyle w:val="a3"/>
        <w:numPr>
          <w:ilvl w:val="0"/>
          <w:numId w:val="1"/>
        </w:numPr>
        <w:spacing w:after="0" w:line="28" w:lineRule="atLeast"/>
        <w:jc w:val="both"/>
        <w:rPr>
          <w:rFonts w:ascii="Calibri" w:hAnsi="Calibri" w:cs="Calibri"/>
          <w:sz w:val="24"/>
          <w:szCs w:val="24"/>
        </w:rPr>
      </w:pPr>
      <w:proofErr w:type="spellStart"/>
      <w:r w:rsidRPr="005C7603">
        <w:rPr>
          <w:rFonts w:ascii="Calibri" w:hAnsi="Calibri" w:cs="Calibri"/>
          <w:b/>
          <w:sz w:val="24"/>
          <w:szCs w:val="24"/>
        </w:rPr>
        <w:t>ββ</w:t>
      </w:r>
      <w:proofErr w:type="spellEnd"/>
      <w:r w:rsidRPr="005C7603">
        <w:rPr>
          <w:rFonts w:ascii="Calibri" w:hAnsi="Calibri" w:cs="Calibri"/>
          <w:b/>
          <w:sz w:val="24"/>
          <w:szCs w:val="24"/>
        </w:rPr>
        <w:t xml:space="preserve">. </w:t>
      </w:r>
      <w:r w:rsidR="00DB4AFC" w:rsidRPr="005C7603">
        <w:rPr>
          <w:rFonts w:ascii="Calibri" w:hAnsi="Calibri" w:cs="Calibri"/>
          <w:b/>
          <w:sz w:val="24"/>
          <w:szCs w:val="24"/>
        </w:rPr>
        <w:t>Τα α</w:t>
      </w:r>
      <w:r w:rsidRPr="005C7603">
        <w:rPr>
          <w:rFonts w:ascii="Calibri" w:hAnsi="Calibri" w:cs="Calibri"/>
          <w:b/>
          <w:sz w:val="24"/>
          <w:szCs w:val="24"/>
        </w:rPr>
        <w:t>υτοεξυπηρετούμενα καταλύματα − τουριστικές επιπλωμένες κατοικίες (</w:t>
      </w:r>
      <w:r w:rsidRPr="005C7603">
        <w:rPr>
          <w:rFonts w:ascii="Calibri" w:hAnsi="Calibri" w:cs="Calibri"/>
          <w:sz w:val="24"/>
          <w:szCs w:val="24"/>
        </w:rPr>
        <w:t xml:space="preserve">μεμονωμένες ή σε συγκρότημα μονοκατοικίες, επιφανείας τουλάχιστον 40 </w:t>
      </w:r>
      <w:proofErr w:type="spellStart"/>
      <w:r w:rsidRPr="005C7603">
        <w:rPr>
          <w:rFonts w:ascii="Calibri" w:hAnsi="Calibri" w:cs="Calibri"/>
          <w:sz w:val="24"/>
          <w:szCs w:val="24"/>
        </w:rPr>
        <w:t>τ.μ</w:t>
      </w:r>
      <w:proofErr w:type="spellEnd"/>
      <w:r w:rsidRPr="005C7603">
        <w:rPr>
          <w:rFonts w:ascii="Calibri" w:hAnsi="Calibri" w:cs="Calibri"/>
          <w:sz w:val="24"/>
          <w:szCs w:val="24"/>
        </w:rPr>
        <w:t xml:space="preserve">. εκάστη, με αυτοτέλεια λειτουργίας και ανεξάρτητη εξωτερική προσπέλαση) </w:t>
      </w:r>
      <w:r w:rsidRPr="00D83F47">
        <w:rPr>
          <w:rFonts w:ascii="Calibri" w:hAnsi="Calibri" w:cs="Calibri"/>
          <w:sz w:val="24"/>
          <w:szCs w:val="24"/>
          <w:u w:val="single"/>
        </w:rPr>
        <w:t>που δομούνται με όρους δόμησης κατοικίας</w:t>
      </w:r>
      <w:r w:rsidR="00DB4AFC" w:rsidRPr="005C7603">
        <w:rPr>
          <w:rFonts w:ascii="Calibri" w:hAnsi="Calibri" w:cs="Calibri"/>
          <w:sz w:val="24"/>
          <w:szCs w:val="24"/>
        </w:rPr>
        <w:t xml:space="preserve"> (σχετική η  </w:t>
      </w:r>
      <w:proofErr w:type="spellStart"/>
      <w:r w:rsidR="00DB4AFC" w:rsidRPr="005C7603">
        <w:rPr>
          <w:rFonts w:ascii="Calibri" w:hAnsi="Calibri" w:cs="Calibri"/>
          <w:sz w:val="24"/>
          <w:szCs w:val="24"/>
        </w:rPr>
        <w:t>παραγρ</w:t>
      </w:r>
      <w:proofErr w:type="spellEnd"/>
      <w:r w:rsidR="00DB4AFC" w:rsidRPr="005C7603">
        <w:rPr>
          <w:rFonts w:ascii="Calibri" w:hAnsi="Calibri" w:cs="Calibri"/>
          <w:sz w:val="24"/>
          <w:szCs w:val="24"/>
        </w:rPr>
        <w:t>. 2 Άρθρου 1 της ΥΑ 27715/2013 (ΦΕΚ 3118 Β).</w:t>
      </w:r>
    </w:p>
    <w:p w:rsidR="005A20B7" w:rsidRPr="005C7603" w:rsidRDefault="005A20B7" w:rsidP="00426768">
      <w:pPr>
        <w:pStyle w:val="a3"/>
        <w:numPr>
          <w:ilvl w:val="0"/>
          <w:numId w:val="1"/>
        </w:numPr>
        <w:spacing w:after="0" w:line="28" w:lineRule="atLeast"/>
        <w:jc w:val="both"/>
        <w:rPr>
          <w:rFonts w:ascii="Calibri" w:hAnsi="Calibri" w:cs="Calibri"/>
          <w:sz w:val="24"/>
          <w:szCs w:val="24"/>
        </w:rPr>
      </w:pPr>
      <w:proofErr w:type="spellStart"/>
      <w:r w:rsidRPr="005C7603">
        <w:rPr>
          <w:rFonts w:ascii="Calibri" w:hAnsi="Calibri" w:cs="Calibri"/>
          <w:b/>
          <w:sz w:val="24"/>
          <w:szCs w:val="24"/>
        </w:rPr>
        <w:t>γγ</w:t>
      </w:r>
      <w:proofErr w:type="spellEnd"/>
      <w:r w:rsidRPr="005C7603">
        <w:rPr>
          <w:rFonts w:ascii="Calibri" w:hAnsi="Calibri" w:cs="Calibri"/>
          <w:b/>
          <w:sz w:val="24"/>
          <w:szCs w:val="24"/>
        </w:rPr>
        <w:t xml:space="preserve">. </w:t>
      </w:r>
      <w:r w:rsidR="00DB4AFC" w:rsidRPr="005C7603">
        <w:rPr>
          <w:rFonts w:ascii="Calibri" w:hAnsi="Calibri" w:cs="Calibri"/>
          <w:b/>
          <w:sz w:val="24"/>
          <w:szCs w:val="24"/>
        </w:rPr>
        <w:t>Τα ε</w:t>
      </w:r>
      <w:r w:rsidRPr="005C7603">
        <w:rPr>
          <w:rFonts w:ascii="Calibri" w:hAnsi="Calibri" w:cs="Calibri"/>
          <w:b/>
          <w:sz w:val="24"/>
          <w:szCs w:val="24"/>
        </w:rPr>
        <w:t xml:space="preserve">νοικιαζόμενα επιπλωμένα δωμάτια – διαμερίσματα  </w:t>
      </w:r>
      <w:r w:rsidR="005C7603">
        <w:rPr>
          <w:rFonts w:ascii="Calibri" w:hAnsi="Calibri" w:cs="Calibri"/>
          <w:b/>
          <w:sz w:val="24"/>
          <w:szCs w:val="24"/>
        </w:rPr>
        <w:t xml:space="preserve"> </w:t>
      </w:r>
      <w:r w:rsidR="005C7603" w:rsidRPr="005C7603">
        <w:rPr>
          <w:rFonts w:ascii="Calibri" w:hAnsi="Calibri" w:cs="Calibri"/>
          <w:b/>
          <w:sz w:val="24"/>
          <w:szCs w:val="24"/>
        </w:rPr>
        <w:t>(ΕΕΔΔ)</w:t>
      </w:r>
      <w:r w:rsidR="005C7603" w:rsidRPr="005C7603">
        <w:rPr>
          <w:rFonts w:ascii="Calibri" w:hAnsi="Calibri" w:cs="Calibri"/>
          <w:sz w:val="24"/>
          <w:szCs w:val="24"/>
        </w:rPr>
        <w:t xml:space="preserve"> </w:t>
      </w:r>
      <w:r w:rsidR="005C7603">
        <w:rPr>
          <w:rFonts w:ascii="Calibri" w:hAnsi="Calibri" w:cs="Calibri"/>
          <w:sz w:val="24"/>
          <w:szCs w:val="24"/>
        </w:rPr>
        <w:t>(</w:t>
      </w:r>
      <w:r w:rsidRPr="005C7603">
        <w:rPr>
          <w:rFonts w:ascii="Calibri" w:hAnsi="Calibri" w:cs="Calibri"/>
          <w:sz w:val="24"/>
          <w:szCs w:val="24"/>
        </w:rPr>
        <w:t>ενοικιαζόμενα επιπλωμένα δωμάτια – διαμερίσματα που διαθέτουν χώρους διανυκτέρευσης σε δωμάτια ή και σε διαμερίσματα ενός ή δύο ή περισσότερων χώρων με λουτρό</w:t>
      </w:r>
      <w:r w:rsidR="00DD6CF7" w:rsidRPr="00DD6CF7">
        <w:rPr>
          <w:rFonts w:ascii="Calibri" w:hAnsi="Calibri" w:cs="Calibri"/>
          <w:sz w:val="24"/>
          <w:szCs w:val="24"/>
        </w:rPr>
        <w:t>)</w:t>
      </w:r>
      <w:r w:rsidR="00D83F47">
        <w:rPr>
          <w:rFonts w:ascii="Calibri" w:hAnsi="Calibri" w:cs="Calibri"/>
          <w:sz w:val="24"/>
          <w:szCs w:val="24"/>
        </w:rPr>
        <w:t>, τα οποία,</w:t>
      </w:r>
      <w:r w:rsidRPr="005C7603">
        <w:rPr>
          <w:rFonts w:ascii="Calibri" w:hAnsi="Calibri" w:cs="Calibri"/>
          <w:sz w:val="24"/>
          <w:szCs w:val="24"/>
        </w:rPr>
        <w:t xml:space="preserve"> σύμφωνα με  την </w:t>
      </w:r>
      <w:proofErr w:type="spellStart"/>
      <w:r w:rsidRPr="005C7603">
        <w:rPr>
          <w:rFonts w:ascii="Calibri" w:hAnsi="Calibri" w:cs="Calibri"/>
          <w:sz w:val="24"/>
          <w:szCs w:val="24"/>
        </w:rPr>
        <w:t>αριθμ</w:t>
      </w:r>
      <w:proofErr w:type="spellEnd"/>
      <w:r w:rsidRPr="005C7603">
        <w:rPr>
          <w:rFonts w:ascii="Calibri" w:hAnsi="Calibri" w:cs="Calibri"/>
          <w:sz w:val="24"/>
          <w:szCs w:val="24"/>
        </w:rPr>
        <w:t>. 21185/13−10−2014 απόφαση Υπουργού Τουρισμού (ΦΕΚ 2840</w:t>
      </w:r>
      <w:r w:rsidRPr="005C7603">
        <w:rPr>
          <w:rFonts w:ascii="MgHelveticaUCPol" w:hAnsi="MgHelveticaUCPol" w:cs="MgHelveticaUCPol"/>
          <w:sz w:val="18"/>
          <w:szCs w:val="18"/>
        </w:rPr>
        <w:t xml:space="preserve"> </w:t>
      </w:r>
      <w:r w:rsidRPr="005C7603">
        <w:rPr>
          <w:rFonts w:ascii="Calibri" w:hAnsi="Calibri" w:cs="Calibri"/>
          <w:sz w:val="24"/>
          <w:szCs w:val="24"/>
        </w:rPr>
        <w:t xml:space="preserve">Β), </w:t>
      </w:r>
      <w:r w:rsidR="00D83F47" w:rsidRPr="00D83F47">
        <w:rPr>
          <w:rFonts w:ascii="Calibri" w:hAnsi="Calibri" w:cs="Calibri"/>
          <w:sz w:val="24"/>
          <w:szCs w:val="24"/>
          <w:u w:val="single"/>
        </w:rPr>
        <w:t xml:space="preserve">δομούνται </w:t>
      </w:r>
      <w:r w:rsidRPr="00D83F47">
        <w:rPr>
          <w:rFonts w:ascii="Calibri" w:hAnsi="Calibri" w:cs="Calibri"/>
          <w:sz w:val="24"/>
          <w:szCs w:val="24"/>
          <w:u w:val="single"/>
        </w:rPr>
        <w:t>με όρους δόμησης κατοικίας</w:t>
      </w:r>
      <w:r w:rsidRPr="005C7603">
        <w:rPr>
          <w:rFonts w:ascii="Calibri" w:hAnsi="Calibri" w:cs="Calibri"/>
          <w:sz w:val="24"/>
          <w:szCs w:val="24"/>
        </w:rPr>
        <w:t>.</w:t>
      </w:r>
    </w:p>
    <w:p w:rsidR="00A241EE" w:rsidRPr="00DD6CF7" w:rsidRDefault="00DD6CF7" w:rsidP="00426768">
      <w:pPr>
        <w:autoSpaceDE w:val="0"/>
        <w:autoSpaceDN w:val="0"/>
        <w:adjustRightInd w:val="0"/>
        <w:spacing w:after="0" w:line="28" w:lineRule="atLeast"/>
        <w:jc w:val="both"/>
        <w:rPr>
          <w:rFonts w:ascii="Calibri" w:hAnsi="Calibri" w:cs="MgHelveticaUCPol-Italic"/>
          <w:iCs/>
          <w:sz w:val="24"/>
          <w:szCs w:val="24"/>
        </w:rPr>
      </w:pPr>
      <w:r w:rsidRPr="00DD6CF7">
        <w:rPr>
          <w:rFonts w:ascii="Calibri" w:hAnsi="Calibri" w:cs="MgHelveticaUCPol-Italic"/>
          <w:iCs/>
          <w:sz w:val="24"/>
          <w:szCs w:val="24"/>
        </w:rPr>
        <w:t xml:space="preserve">         Σε </w:t>
      </w:r>
      <w:proofErr w:type="spellStart"/>
      <w:r w:rsidRPr="00DD6CF7">
        <w:rPr>
          <w:rFonts w:ascii="Calibri" w:hAnsi="Calibri" w:cs="MgHelveticaUCPol-Italic"/>
          <w:iCs/>
          <w:sz w:val="24"/>
          <w:szCs w:val="24"/>
        </w:rPr>
        <w:t>ό,τι</w:t>
      </w:r>
      <w:proofErr w:type="spellEnd"/>
      <w:r w:rsidRPr="00DD6CF7">
        <w:rPr>
          <w:rFonts w:ascii="Calibri" w:hAnsi="Calibri" w:cs="MgHelveticaUCPol-Italic"/>
          <w:iCs/>
          <w:sz w:val="24"/>
          <w:szCs w:val="24"/>
        </w:rPr>
        <w:t xml:space="preserve"> αφορά τους − εντός οινοποιητικών/ </w:t>
      </w:r>
      <w:proofErr w:type="spellStart"/>
      <w:r w:rsidRPr="00DD6CF7">
        <w:rPr>
          <w:rFonts w:ascii="Calibri" w:hAnsi="Calibri" w:cs="MgHelveticaUCPol-Italic"/>
          <w:iCs/>
          <w:sz w:val="24"/>
          <w:szCs w:val="24"/>
        </w:rPr>
        <w:t>οινοπαραγωγικών</w:t>
      </w:r>
      <w:proofErr w:type="spellEnd"/>
      <w:r w:rsidRPr="00DD6CF7">
        <w:rPr>
          <w:rFonts w:ascii="Calibri" w:hAnsi="Calibri" w:cs="MgHelveticaUCPol-Italic"/>
          <w:iCs/>
          <w:sz w:val="24"/>
          <w:szCs w:val="24"/>
        </w:rPr>
        <w:t xml:space="preserve"> εγκαταστάσεων − χώρους εστίασης (όπου αυτή παρέχεται) ισχύουν οι προϋποθέσεις λειτουργίας που ορίζονται στην Υ1γ/ΓΠ/οικ.96967/2012 απόφαση Υπουργού Υγείας (Β΄/2718)</w:t>
      </w:r>
      <w:r w:rsidR="003443A2">
        <w:rPr>
          <w:rFonts w:ascii="Calibri" w:hAnsi="Calibri" w:cs="MgHelveticaUCPol-Italic"/>
          <w:iCs/>
          <w:sz w:val="24"/>
          <w:szCs w:val="24"/>
        </w:rPr>
        <w:t xml:space="preserve"> (Καταστήματα Υγειονομικού Ενδιαφέροντος).</w:t>
      </w:r>
    </w:p>
    <w:p w:rsidR="00A241EE" w:rsidRPr="004D1CFF" w:rsidRDefault="00A241EE" w:rsidP="00426768">
      <w:pPr>
        <w:autoSpaceDE w:val="0"/>
        <w:autoSpaceDN w:val="0"/>
        <w:adjustRightInd w:val="0"/>
        <w:spacing w:after="0" w:line="28" w:lineRule="atLeast"/>
        <w:jc w:val="both"/>
        <w:rPr>
          <w:rFonts w:ascii="Calibri" w:hAnsi="Calibri" w:cs="MgHelveticaUCPol-Italic"/>
          <w:iCs/>
          <w:sz w:val="24"/>
          <w:szCs w:val="24"/>
        </w:rPr>
      </w:pPr>
    </w:p>
    <w:p w:rsidR="00DD6CF7" w:rsidRPr="003443A2" w:rsidRDefault="00DD6CF7" w:rsidP="00426768">
      <w:pPr>
        <w:spacing w:after="0" w:line="28" w:lineRule="atLeast"/>
        <w:jc w:val="both"/>
        <w:rPr>
          <w:rFonts w:ascii="Calibri" w:eastAsia="Times New Roman" w:hAnsi="Calibri" w:cs="Courier New"/>
          <w:b/>
          <w:sz w:val="24"/>
          <w:szCs w:val="24"/>
          <w:lang w:eastAsia="el-GR"/>
        </w:rPr>
      </w:pPr>
    </w:p>
    <w:p w:rsidR="00DD6CF7" w:rsidRPr="003443A2" w:rsidRDefault="00DD6CF7" w:rsidP="00426768">
      <w:pPr>
        <w:spacing w:after="0" w:line="28" w:lineRule="atLeast"/>
        <w:jc w:val="both"/>
        <w:rPr>
          <w:rFonts w:ascii="Calibri" w:eastAsia="Times New Roman" w:hAnsi="Calibri" w:cs="Courier New"/>
          <w:b/>
          <w:sz w:val="24"/>
          <w:szCs w:val="24"/>
          <w:lang w:eastAsia="el-GR"/>
        </w:rPr>
      </w:pPr>
    </w:p>
    <w:p w:rsidR="00811EFC"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945640">
        <w:rPr>
          <w:rFonts w:ascii="Calibri" w:eastAsia="Times New Roman" w:hAnsi="Calibri" w:cs="Courier New"/>
          <w:sz w:val="24"/>
          <w:szCs w:val="24"/>
          <w:lang w:eastAsia="el-GR"/>
        </w:rPr>
        <w:t>Με τις διατάξεις αυτές δίνεται η δυνατότητα</w:t>
      </w:r>
      <w:r w:rsidR="00460586">
        <w:rPr>
          <w:rFonts w:ascii="Calibri" w:eastAsia="Times New Roman" w:hAnsi="Calibri" w:cs="Courier New"/>
          <w:sz w:val="24"/>
          <w:szCs w:val="24"/>
          <w:lang w:eastAsia="el-GR"/>
        </w:rPr>
        <w:t xml:space="preserve"> σύνδεσης της τοπικής </w:t>
      </w:r>
      <w:proofErr w:type="spellStart"/>
      <w:r w:rsidR="00460586">
        <w:rPr>
          <w:rFonts w:ascii="Calibri" w:eastAsia="Times New Roman" w:hAnsi="Calibri" w:cs="Courier New"/>
          <w:sz w:val="24"/>
          <w:szCs w:val="24"/>
          <w:lang w:eastAsia="el-GR"/>
        </w:rPr>
        <w:t>αμπε</w:t>
      </w:r>
      <w:proofErr w:type="spellEnd"/>
      <w:r>
        <w:rPr>
          <w:rFonts w:ascii="Calibri" w:eastAsia="Times New Roman" w:hAnsi="Calibri" w:cs="Courier New"/>
          <w:sz w:val="24"/>
          <w:szCs w:val="24"/>
          <w:lang w:eastAsia="el-GR"/>
        </w:rPr>
        <w:t>-</w:t>
      </w:r>
      <w:proofErr w:type="spellStart"/>
      <w:r w:rsidR="00460586">
        <w:rPr>
          <w:rFonts w:ascii="Calibri" w:eastAsia="Times New Roman" w:hAnsi="Calibri" w:cs="Courier New"/>
          <w:sz w:val="24"/>
          <w:szCs w:val="24"/>
          <w:lang w:eastAsia="el-GR"/>
        </w:rPr>
        <w:t>λοκαλλιέργειας</w:t>
      </w:r>
      <w:proofErr w:type="spellEnd"/>
      <w:r w:rsidR="00460586">
        <w:rPr>
          <w:rFonts w:ascii="Calibri" w:eastAsia="Times New Roman" w:hAnsi="Calibri" w:cs="Courier New"/>
          <w:sz w:val="24"/>
          <w:szCs w:val="24"/>
          <w:lang w:eastAsia="el-GR"/>
        </w:rPr>
        <w:t xml:space="preserve"> και τοπικής οινικής παραγωγής με τον τουρισμό, κάτι που ήταν επιδίωξη και ζητούμενο των αμπελουργικών περιοχών εδώ και πολλά χρόνια και μπορεί ασφαλώς να ενισχύσει σημαντικά την τοπική τους οικονομία.  Επειδή όμως οι αμπελώνες (κατά κανόνα) και τα οινοποιεία (στην πλειονότητά τους) ευρίσκονται ε</w:t>
      </w:r>
      <w:r>
        <w:rPr>
          <w:rFonts w:ascii="Calibri" w:eastAsia="Times New Roman" w:hAnsi="Calibri" w:cs="Courier New"/>
          <w:sz w:val="24"/>
          <w:szCs w:val="24"/>
          <w:lang w:eastAsia="el-GR"/>
        </w:rPr>
        <w:t xml:space="preserve">κτός οικισμών και εκτός σχεδίων </w:t>
      </w:r>
      <w:r w:rsidR="00460586">
        <w:rPr>
          <w:rFonts w:ascii="Calibri" w:eastAsia="Times New Roman" w:hAnsi="Calibri" w:cs="Courier New"/>
          <w:sz w:val="24"/>
          <w:szCs w:val="24"/>
          <w:lang w:eastAsia="el-GR"/>
        </w:rPr>
        <w:t>πόλεως, θα πρέπει να αν</w:t>
      </w:r>
      <w:r>
        <w:rPr>
          <w:rFonts w:ascii="Calibri" w:eastAsia="Times New Roman" w:hAnsi="Calibri" w:cs="Courier New"/>
          <w:sz w:val="24"/>
          <w:szCs w:val="24"/>
          <w:lang w:eastAsia="el-GR"/>
        </w:rPr>
        <w:t xml:space="preserve">τιμετωπιστούν αποτελεσματικά τα </w:t>
      </w:r>
      <w:r w:rsidR="00811EFC">
        <w:rPr>
          <w:rFonts w:ascii="Calibri" w:eastAsia="Times New Roman" w:hAnsi="Calibri" w:cs="Courier New"/>
          <w:sz w:val="24"/>
          <w:szCs w:val="24"/>
          <w:lang w:eastAsia="el-GR"/>
        </w:rPr>
        <w:t xml:space="preserve">παρακάτω </w:t>
      </w:r>
      <w:r>
        <w:rPr>
          <w:rFonts w:ascii="Calibri" w:eastAsia="Times New Roman" w:hAnsi="Calibri" w:cs="Courier New"/>
          <w:sz w:val="24"/>
          <w:szCs w:val="24"/>
          <w:lang w:eastAsia="el-GR"/>
        </w:rPr>
        <w:t>προ-</w:t>
      </w:r>
      <w:r w:rsidR="00460586">
        <w:rPr>
          <w:rFonts w:ascii="Calibri" w:eastAsia="Times New Roman" w:hAnsi="Calibri" w:cs="Courier New"/>
          <w:sz w:val="24"/>
          <w:szCs w:val="24"/>
          <w:lang w:eastAsia="el-GR"/>
        </w:rPr>
        <w:t xml:space="preserve">βλήματα </w:t>
      </w:r>
      <w:r w:rsidR="00811EFC">
        <w:rPr>
          <w:rFonts w:ascii="Calibri" w:eastAsia="Times New Roman" w:hAnsi="Calibri" w:cs="Courier New"/>
          <w:sz w:val="24"/>
          <w:szCs w:val="24"/>
          <w:lang w:eastAsia="el-GR"/>
        </w:rPr>
        <w:t>α</w:t>
      </w:r>
      <w:r w:rsidR="00460586">
        <w:rPr>
          <w:rFonts w:ascii="Calibri" w:eastAsia="Times New Roman" w:hAnsi="Calibri" w:cs="Courier New"/>
          <w:sz w:val="24"/>
          <w:szCs w:val="24"/>
          <w:lang w:eastAsia="el-GR"/>
        </w:rPr>
        <w:t>συμβατότητας που προκύπτουν</w:t>
      </w:r>
      <w:r w:rsidR="00811EFC">
        <w:rPr>
          <w:rFonts w:ascii="Calibri" w:eastAsia="Times New Roman" w:hAnsi="Calibri" w:cs="Courier New"/>
          <w:sz w:val="24"/>
          <w:szCs w:val="24"/>
          <w:lang w:eastAsia="el-GR"/>
        </w:rPr>
        <w:t>, σε σχέση</w:t>
      </w:r>
      <w:r w:rsidR="00460586">
        <w:rPr>
          <w:rFonts w:ascii="Calibri" w:eastAsia="Times New Roman" w:hAnsi="Calibri" w:cs="Courier New"/>
          <w:sz w:val="24"/>
          <w:szCs w:val="24"/>
          <w:lang w:eastAsia="el-GR"/>
        </w:rPr>
        <w:t xml:space="preserve"> </w:t>
      </w:r>
      <w:r w:rsidR="00811EFC">
        <w:rPr>
          <w:rFonts w:ascii="Calibri" w:eastAsia="Times New Roman" w:hAnsi="Calibri" w:cs="Courier New"/>
          <w:sz w:val="24"/>
          <w:szCs w:val="24"/>
          <w:lang w:eastAsia="el-GR"/>
        </w:rPr>
        <w:t>με</w:t>
      </w:r>
      <w:r w:rsidR="00460586">
        <w:rPr>
          <w:rFonts w:ascii="Calibri" w:eastAsia="Times New Roman" w:hAnsi="Calibri" w:cs="Courier New"/>
          <w:sz w:val="24"/>
          <w:szCs w:val="24"/>
          <w:lang w:eastAsia="el-GR"/>
        </w:rPr>
        <w:t xml:space="preserve"> </w:t>
      </w:r>
      <w:r w:rsidR="00811EFC">
        <w:rPr>
          <w:rFonts w:ascii="Calibri" w:eastAsia="Times New Roman" w:hAnsi="Calibri" w:cs="Courier New"/>
          <w:sz w:val="24"/>
          <w:szCs w:val="24"/>
          <w:lang w:eastAsia="el-GR"/>
        </w:rPr>
        <w:t>τους περιορισμούς των</w:t>
      </w:r>
      <w:r w:rsidR="00460586">
        <w:rPr>
          <w:rFonts w:ascii="Calibri" w:eastAsia="Times New Roman" w:hAnsi="Calibri" w:cs="Courier New"/>
          <w:sz w:val="24"/>
          <w:szCs w:val="24"/>
          <w:lang w:eastAsia="el-GR"/>
        </w:rPr>
        <w:t xml:space="preserve"> </w:t>
      </w:r>
      <w:proofErr w:type="spellStart"/>
      <w:r w:rsidR="00460586">
        <w:rPr>
          <w:rFonts w:ascii="Calibri" w:eastAsia="Times New Roman" w:hAnsi="Calibri" w:cs="Courier New"/>
          <w:sz w:val="24"/>
          <w:szCs w:val="24"/>
          <w:lang w:eastAsia="el-GR"/>
        </w:rPr>
        <w:t>πολε</w:t>
      </w:r>
      <w:proofErr w:type="spellEnd"/>
      <w:r>
        <w:rPr>
          <w:rFonts w:ascii="Calibri" w:eastAsia="Times New Roman" w:hAnsi="Calibri" w:cs="Courier New"/>
          <w:sz w:val="24"/>
          <w:szCs w:val="24"/>
          <w:lang w:eastAsia="el-GR"/>
        </w:rPr>
        <w:t>-</w:t>
      </w:r>
      <w:proofErr w:type="spellStart"/>
      <w:r w:rsidR="00460586">
        <w:rPr>
          <w:rFonts w:ascii="Calibri" w:eastAsia="Times New Roman" w:hAnsi="Calibri" w:cs="Courier New"/>
          <w:sz w:val="24"/>
          <w:szCs w:val="24"/>
          <w:lang w:eastAsia="el-GR"/>
        </w:rPr>
        <w:t>οδομικ</w:t>
      </w:r>
      <w:r w:rsidR="00811EFC">
        <w:rPr>
          <w:rFonts w:ascii="Calibri" w:eastAsia="Times New Roman" w:hAnsi="Calibri" w:cs="Courier New"/>
          <w:sz w:val="24"/>
          <w:szCs w:val="24"/>
          <w:lang w:eastAsia="el-GR"/>
        </w:rPr>
        <w:t>ών</w:t>
      </w:r>
      <w:proofErr w:type="spellEnd"/>
      <w:r w:rsidR="00460586">
        <w:rPr>
          <w:rFonts w:ascii="Calibri" w:eastAsia="Times New Roman" w:hAnsi="Calibri" w:cs="Courier New"/>
          <w:sz w:val="24"/>
          <w:szCs w:val="24"/>
          <w:lang w:eastAsia="el-GR"/>
        </w:rPr>
        <w:t xml:space="preserve"> </w:t>
      </w:r>
      <w:r w:rsidR="00811EFC">
        <w:rPr>
          <w:rFonts w:ascii="Calibri" w:eastAsia="Times New Roman" w:hAnsi="Calibri" w:cs="Courier New"/>
          <w:sz w:val="24"/>
          <w:szCs w:val="24"/>
          <w:lang w:eastAsia="el-GR"/>
        </w:rPr>
        <w:t>διατάξεων που ισχύουν</w:t>
      </w:r>
      <w:r w:rsidR="00460586">
        <w:rPr>
          <w:rFonts w:ascii="Calibri" w:eastAsia="Times New Roman" w:hAnsi="Calibri" w:cs="Courier New"/>
          <w:sz w:val="24"/>
          <w:szCs w:val="24"/>
          <w:lang w:eastAsia="el-GR"/>
        </w:rPr>
        <w:t xml:space="preserve"> για τις εκτός σχεδίου και οικισμών περιοχές</w:t>
      </w:r>
      <w:r w:rsidR="00811EFC">
        <w:rPr>
          <w:rFonts w:ascii="Calibri" w:eastAsia="Times New Roman" w:hAnsi="Calibri" w:cs="Courier New"/>
          <w:sz w:val="24"/>
          <w:szCs w:val="24"/>
          <w:lang w:eastAsia="el-GR"/>
        </w:rPr>
        <w:t>:</w:t>
      </w:r>
    </w:p>
    <w:p w:rsidR="00426768" w:rsidRDefault="00426768" w:rsidP="00426768">
      <w:pPr>
        <w:spacing w:after="0" w:line="28" w:lineRule="atLeast"/>
        <w:jc w:val="both"/>
        <w:rPr>
          <w:rFonts w:ascii="Calibri" w:eastAsia="Times New Roman" w:hAnsi="Calibri" w:cs="Courier New"/>
          <w:sz w:val="24"/>
          <w:szCs w:val="24"/>
          <w:lang w:eastAsia="el-GR"/>
        </w:rPr>
      </w:pPr>
    </w:p>
    <w:p w:rsidR="00945640" w:rsidRPr="00811EFC" w:rsidRDefault="00426768" w:rsidP="00426768">
      <w:pPr>
        <w:spacing w:after="0" w:line="28" w:lineRule="atLeast"/>
        <w:jc w:val="both"/>
        <w:rPr>
          <w:rFonts w:ascii="Calibri" w:eastAsia="Times New Roman" w:hAnsi="Calibri" w:cs="Courier New"/>
          <w:b/>
          <w:sz w:val="24"/>
          <w:szCs w:val="24"/>
          <w:lang w:eastAsia="el-GR"/>
        </w:rPr>
      </w:pPr>
      <w:r>
        <w:rPr>
          <w:rFonts w:ascii="Calibri" w:eastAsia="Times New Roman" w:hAnsi="Calibri" w:cs="Courier New"/>
          <w:b/>
          <w:sz w:val="24"/>
          <w:szCs w:val="24"/>
          <w:lang w:eastAsia="el-GR"/>
        </w:rPr>
        <w:t>Α</w:t>
      </w:r>
      <w:r w:rsidR="00811EFC" w:rsidRPr="00811EFC">
        <w:rPr>
          <w:rFonts w:ascii="Calibri" w:eastAsia="Times New Roman" w:hAnsi="Calibri" w:cs="Courier New"/>
          <w:b/>
          <w:sz w:val="24"/>
          <w:szCs w:val="24"/>
          <w:lang w:eastAsia="el-GR"/>
        </w:rPr>
        <w:t xml:space="preserve">) Ίδρυση μη κύριων καταλυμάτων και χώρων εστίασης σε αδόμητους αμπελώνες. </w:t>
      </w:r>
    </w:p>
    <w:p w:rsidR="00277605" w:rsidRPr="00277605" w:rsidRDefault="00277605"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Η ίδρυση εντός αμπελώνων εκτός σχεδίου μη κύριων καταλυμάτων με όρους δόμησης κατοικίας, παραπέμπει στο Άρθρο </w:t>
      </w:r>
      <w:r w:rsidRPr="00277605">
        <w:rPr>
          <w:rFonts w:ascii="Calibri" w:eastAsia="Times New Roman" w:hAnsi="Calibri" w:cs="Courier New"/>
          <w:sz w:val="24"/>
          <w:szCs w:val="24"/>
          <w:lang w:eastAsia="el-GR"/>
        </w:rPr>
        <w:t>6 (ΚΑΤΟΙΚΙΑ) του ΠΔ/24-5-85 (ΔΟΜΗΣΙΣ ΕΚΤΟΣ ΣΧΕΔΙΟΥ) (ΦΕΚ 270 Δ/31-5-85), το οποίο προβλέπει</w:t>
      </w:r>
      <w:r w:rsidR="00676CED">
        <w:rPr>
          <w:rFonts w:ascii="Calibri" w:eastAsia="Times New Roman" w:hAnsi="Calibri" w:cs="Courier New"/>
          <w:sz w:val="24"/>
          <w:szCs w:val="24"/>
          <w:lang w:eastAsia="el-GR"/>
        </w:rPr>
        <w:t xml:space="preserve"> ότι</w:t>
      </w:r>
      <w:r w:rsidRPr="00277605">
        <w:rPr>
          <w:rFonts w:ascii="Calibri" w:eastAsia="Times New Roman" w:hAnsi="Calibri" w:cs="Courier New"/>
          <w:sz w:val="24"/>
          <w:szCs w:val="24"/>
          <w:lang w:eastAsia="el-GR"/>
        </w:rPr>
        <w:t>:</w:t>
      </w:r>
    </w:p>
    <w:p w:rsidR="00277605" w:rsidRDefault="00277605"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α) </w:t>
      </w:r>
      <w:r w:rsidR="00676CED">
        <w:rPr>
          <w:rFonts w:ascii="Calibri" w:eastAsia="Times New Roman" w:hAnsi="Calibri" w:cs="Courier New"/>
          <w:sz w:val="24"/>
          <w:szCs w:val="24"/>
          <w:lang w:eastAsia="el-GR"/>
        </w:rPr>
        <w:t>Η μ</w:t>
      </w:r>
      <w:r>
        <w:rPr>
          <w:rFonts w:ascii="Calibri" w:eastAsia="Times New Roman" w:hAnsi="Calibri" w:cs="Courier New"/>
          <w:sz w:val="24"/>
          <w:szCs w:val="24"/>
          <w:lang w:eastAsia="el-GR"/>
        </w:rPr>
        <w:t>έγι</w:t>
      </w:r>
      <w:r w:rsidRPr="004D1CFF">
        <w:rPr>
          <w:rFonts w:ascii="Calibri" w:eastAsia="Times New Roman" w:hAnsi="Calibri" w:cs="Courier New"/>
          <w:sz w:val="24"/>
          <w:szCs w:val="24"/>
          <w:lang w:eastAsia="el-GR"/>
        </w:rPr>
        <w:t>στη επιτρεπομένη επιφάνεια του κτιρίου</w:t>
      </w:r>
      <w:r>
        <w:rPr>
          <w:rFonts w:ascii="Calibri" w:eastAsia="Times New Roman" w:hAnsi="Calibri" w:cs="Courier New"/>
          <w:sz w:val="24"/>
          <w:szCs w:val="24"/>
          <w:lang w:eastAsia="el-GR"/>
        </w:rPr>
        <w:t>/ων</w:t>
      </w:r>
      <w:r w:rsidRPr="004D1CFF">
        <w:rPr>
          <w:rFonts w:ascii="Calibri" w:eastAsia="Times New Roman" w:hAnsi="Calibri" w:cs="Courier New"/>
          <w:sz w:val="24"/>
          <w:szCs w:val="24"/>
          <w:lang w:eastAsia="el-GR"/>
        </w:rPr>
        <w:t xml:space="preserve"> ως και συνολική επιφάνεια των ορόφων </w:t>
      </w:r>
      <w:r w:rsidR="00676CED">
        <w:rPr>
          <w:rFonts w:ascii="Calibri" w:eastAsia="Times New Roman" w:hAnsi="Calibri" w:cs="Courier New"/>
          <w:sz w:val="24"/>
          <w:szCs w:val="24"/>
          <w:lang w:eastAsia="el-GR"/>
        </w:rPr>
        <w:t xml:space="preserve">του/τους έχει </w:t>
      </w:r>
      <w:r>
        <w:rPr>
          <w:rFonts w:ascii="Calibri" w:eastAsia="Times New Roman" w:hAnsi="Calibri" w:cs="Courier New"/>
          <w:sz w:val="24"/>
          <w:szCs w:val="24"/>
          <w:lang w:eastAsia="el-GR"/>
        </w:rPr>
        <w:t>ως εξής:</w:t>
      </w:r>
    </w:p>
    <w:p w:rsidR="00277605" w:rsidRPr="004D1CFF" w:rsidRDefault="00277605" w:rsidP="00426768">
      <w:pPr>
        <w:pStyle w:val="a3"/>
        <w:numPr>
          <w:ilvl w:val="0"/>
          <w:numId w:val="2"/>
        </w:numPr>
        <w:spacing w:after="0" w:line="28" w:lineRule="atLeast"/>
        <w:jc w:val="both"/>
        <w:rPr>
          <w:rFonts w:ascii="Calibri" w:eastAsia="Times New Roman" w:hAnsi="Calibri" w:cs="Courier New"/>
          <w:sz w:val="24"/>
          <w:szCs w:val="24"/>
          <w:lang w:eastAsia="el-GR"/>
        </w:rPr>
      </w:pPr>
      <w:r w:rsidRPr="004D1CFF">
        <w:rPr>
          <w:rFonts w:ascii="Calibri" w:eastAsia="Times New Roman" w:hAnsi="Calibri" w:cs="Courier New"/>
          <w:sz w:val="24"/>
          <w:szCs w:val="24"/>
          <w:lang w:eastAsia="el-GR"/>
        </w:rPr>
        <w:t xml:space="preserve">Για γήπεδα εμβαδού μέχρι </w:t>
      </w:r>
      <w:r w:rsidR="00676CED" w:rsidRPr="004D1CFF">
        <w:rPr>
          <w:rFonts w:ascii="Calibri" w:eastAsia="Times New Roman" w:hAnsi="Calibri" w:cs="Courier New"/>
          <w:sz w:val="24"/>
          <w:szCs w:val="24"/>
          <w:lang w:eastAsia="el-GR"/>
        </w:rPr>
        <w:t>4000</w:t>
      </w:r>
      <w:r w:rsidR="00676CED">
        <w:rPr>
          <w:rFonts w:ascii="Calibri" w:eastAsia="Times New Roman" w:hAnsi="Calibri" w:cs="Courier New"/>
          <w:sz w:val="24"/>
          <w:szCs w:val="24"/>
          <w:lang w:eastAsia="el-GR"/>
        </w:rPr>
        <w:t xml:space="preserve"> μ2</w:t>
      </w:r>
      <w:r w:rsidR="00676CED" w:rsidRPr="004D1CFF">
        <w:rPr>
          <w:rFonts w:ascii="Calibri" w:eastAsia="Times New Roman" w:hAnsi="Calibri" w:cs="Courier New"/>
          <w:sz w:val="24"/>
          <w:szCs w:val="24"/>
          <w:lang w:eastAsia="el-GR"/>
        </w:rPr>
        <w:t xml:space="preserve"> </w:t>
      </w:r>
      <w:r w:rsidRPr="004D1CFF">
        <w:rPr>
          <w:rFonts w:ascii="Calibri" w:eastAsia="Times New Roman" w:hAnsi="Calibri" w:cs="Courier New"/>
          <w:sz w:val="24"/>
          <w:szCs w:val="24"/>
          <w:lang w:eastAsia="el-GR"/>
        </w:rPr>
        <w:t xml:space="preserve">τα 200 τμ. </w:t>
      </w:r>
    </w:p>
    <w:p w:rsidR="00676CED" w:rsidRDefault="00277605" w:rsidP="00426768">
      <w:pPr>
        <w:pStyle w:val="a3"/>
        <w:numPr>
          <w:ilvl w:val="0"/>
          <w:numId w:val="2"/>
        </w:numPr>
        <w:spacing w:after="0" w:line="28" w:lineRule="atLeast"/>
        <w:jc w:val="both"/>
        <w:rPr>
          <w:rFonts w:ascii="Calibri" w:eastAsia="Times New Roman" w:hAnsi="Calibri" w:cs="Courier New"/>
          <w:sz w:val="24"/>
          <w:szCs w:val="24"/>
          <w:lang w:eastAsia="el-GR"/>
        </w:rPr>
      </w:pPr>
      <w:r w:rsidRPr="004D1CFF">
        <w:rPr>
          <w:rFonts w:ascii="Calibri" w:eastAsia="Times New Roman" w:hAnsi="Calibri" w:cs="Courier New"/>
          <w:sz w:val="24"/>
          <w:szCs w:val="24"/>
          <w:lang w:eastAsia="el-GR"/>
        </w:rPr>
        <w:t xml:space="preserve">Για γήπεδα εμβαδού μεγαλύτερου των 4000 τμ. μέχρι και 8000 για μεν τα πρώτα 4000 τμ. τα 200 τμ. για δε τα λοιπά ίση με το γινόμενο του υπολοίπου εμβαδού του γηπέδου επί τον συντελεστή δομήσεως 0,02. </w:t>
      </w:r>
    </w:p>
    <w:p w:rsidR="00277605" w:rsidRPr="00277605" w:rsidRDefault="00676CED" w:rsidP="00426768">
      <w:pPr>
        <w:pStyle w:val="a3"/>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Ε</w:t>
      </w:r>
      <w:r w:rsidR="00277605" w:rsidRPr="004D1CFF">
        <w:rPr>
          <w:rFonts w:ascii="Calibri" w:eastAsia="Times New Roman" w:hAnsi="Calibri" w:cs="Courier New"/>
          <w:sz w:val="24"/>
          <w:szCs w:val="24"/>
          <w:lang w:eastAsia="el-GR"/>
        </w:rPr>
        <w:t xml:space="preserve">πιφάνεια οικοδομής = 200 τμ. + (εμβαδόν γηπέδου -4000) Χ 0,02. </w:t>
      </w:r>
    </w:p>
    <w:p w:rsidR="00277605" w:rsidRPr="004D1CFF" w:rsidRDefault="00277605" w:rsidP="00426768">
      <w:pPr>
        <w:pStyle w:val="a3"/>
        <w:numPr>
          <w:ilvl w:val="0"/>
          <w:numId w:val="2"/>
        </w:numPr>
        <w:spacing w:after="0" w:line="28" w:lineRule="atLeast"/>
        <w:jc w:val="both"/>
        <w:rPr>
          <w:rFonts w:ascii="Calibri" w:eastAsia="Times New Roman" w:hAnsi="Calibri" w:cs="Courier New"/>
          <w:sz w:val="24"/>
          <w:szCs w:val="24"/>
          <w:lang w:eastAsia="el-GR"/>
        </w:rPr>
      </w:pPr>
      <w:r w:rsidRPr="004D1CFF">
        <w:rPr>
          <w:rFonts w:ascii="Calibri" w:eastAsia="Times New Roman" w:hAnsi="Calibri" w:cs="Courier New"/>
          <w:sz w:val="24"/>
          <w:szCs w:val="24"/>
          <w:lang w:eastAsia="el-GR"/>
        </w:rPr>
        <w:t xml:space="preserve">Για γήπεδα εμβαδού μεγαλυτέρου των 8000 τμ. και άνω, για μεν τα πρώτα 8000 τμ. τα 280 τμ. για δε τα λοιπά ίση με το γινόμενο του υπολοίπου εμβαδού του γηπέδου επί τον συντελεστή δόμησης 0,01 μη δυναμένη εν </w:t>
      </w:r>
      <w:proofErr w:type="spellStart"/>
      <w:r w:rsidRPr="004D1CFF">
        <w:rPr>
          <w:rFonts w:ascii="Calibri" w:eastAsia="Times New Roman" w:hAnsi="Calibri" w:cs="Courier New"/>
          <w:sz w:val="24"/>
          <w:szCs w:val="24"/>
          <w:lang w:eastAsia="el-GR"/>
        </w:rPr>
        <w:t>πάσει</w:t>
      </w:r>
      <w:proofErr w:type="spellEnd"/>
      <w:r w:rsidRPr="004D1CFF">
        <w:rPr>
          <w:rFonts w:ascii="Calibri" w:eastAsia="Times New Roman" w:hAnsi="Calibri" w:cs="Courier New"/>
          <w:sz w:val="24"/>
          <w:szCs w:val="24"/>
          <w:lang w:eastAsia="el-GR"/>
        </w:rPr>
        <w:t xml:space="preserve"> περιπτώσει να υπερβεί τα 400 τμ </w:t>
      </w:r>
    </w:p>
    <w:p w:rsidR="00811EFC" w:rsidRDefault="00277605" w:rsidP="00426768">
      <w:pPr>
        <w:pStyle w:val="a3"/>
        <w:spacing w:after="0" w:line="28" w:lineRule="atLeast"/>
        <w:jc w:val="both"/>
        <w:rPr>
          <w:rFonts w:ascii="Calibri" w:eastAsia="Times New Roman" w:hAnsi="Calibri" w:cs="Courier New"/>
          <w:sz w:val="24"/>
          <w:szCs w:val="24"/>
          <w:lang w:eastAsia="el-GR"/>
        </w:rPr>
      </w:pPr>
      <w:r w:rsidRPr="004D1CFF">
        <w:rPr>
          <w:rFonts w:ascii="Calibri" w:eastAsia="Times New Roman" w:hAnsi="Calibri" w:cs="Courier New"/>
          <w:sz w:val="24"/>
          <w:szCs w:val="24"/>
          <w:lang w:eastAsia="el-GR"/>
        </w:rPr>
        <w:t>επιφάνεια οικοδομής = 280 τμ. + (εμβαδόν γηπέδου -</w:t>
      </w:r>
      <w:r>
        <w:rPr>
          <w:rFonts w:ascii="Calibri" w:eastAsia="Times New Roman" w:hAnsi="Calibri" w:cs="Courier New"/>
          <w:sz w:val="24"/>
          <w:szCs w:val="24"/>
          <w:lang w:eastAsia="el-GR"/>
        </w:rPr>
        <w:t xml:space="preserve"> </w:t>
      </w:r>
      <w:r w:rsidRPr="00304045">
        <w:rPr>
          <w:rFonts w:ascii="Calibri" w:eastAsia="Times New Roman" w:hAnsi="Calibri" w:cs="Courier New"/>
          <w:sz w:val="24"/>
          <w:szCs w:val="24"/>
          <w:lang w:eastAsia="el-GR"/>
        </w:rPr>
        <w:t xml:space="preserve">8000) Χ 0,01. </w:t>
      </w:r>
    </w:p>
    <w:p w:rsidR="00676CED" w:rsidRPr="004D1CFF" w:rsidRDefault="00676CED"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β) </w:t>
      </w:r>
      <w:r w:rsidRPr="004D1CFF">
        <w:rPr>
          <w:rFonts w:ascii="Calibri" w:eastAsia="Times New Roman" w:hAnsi="Calibri" w:cs="Courier New"/>
          <w:sz w:val="24"/>
          <w:szCs w:val="24"/>
          <w:lang w:eastAsia="el-GR"/>
        </w:rPr>
        <w:t xml:space="preserve">Σε περίπτωση ανέγερσης </w:t>
      </w:r>
      <w:r w:rsidRPr="00676CED">
        <w:rPr>
          <w:rFonts w:ascii="Calibri" w:eastAsia="Times New Roman" w:hAnsi="Calibri" w:cs="Courier New"/>
          <w:sz w:val="24"/>
          <w:szCs w:val="24"/>
          <w:lang w:eastAsia="el-GR"/>
        </w:rPr>
        <w:t>οικοδομών μικτής χρήσης</w:t>
      </w:r>
      <w:r w:rsidRPr="004D1CFF">
        <w:rPr>
          <w:rFonts w:ascii="Calibri" w:eastAsia="Times New Roman" w:hAnsi="Calibri" w:cs="Courier New"/>
          <w:sz w:val="24"/>
          <w:szCs w:val="24"/>
          <w:lang w:eastAsia="el-GR"/>
        </w:rPr>
        <w:t xml:space="preserve"> (κατοικία και καταστήματα) η μεγίστη επιτρεπόμενη κάλυψη του γηπέδου δεν δύναται να υπερβεί την οριζόμενη κατά περίπτωση από το άρθρο</w:t>
      </w:r>
      <w:r>
        <w:rPr>
          <w:rFonts w:ascii="Calibri" w:eastAsia="Times New Roman" w:hAnsi="Calibri" w:cs="Courier New"/>
          <w:sz w:val="24"/>
          <w:szCs w:val="24"/>
          <w:lang w:eastAsia="el-GR"/>
        </w:rPr>
        <w:t xml:space="preserve"> 6 (όροι δόμησης κατοικίας), δηλαδή</w:t>
      </w:r>
      <w:r w:rsidR="00EA792F">
        <w:rPr>
          <w:rFonts w:ascii="Calibri" w:eastAsia="Times New Roman" w:hAnsi="Calibri" w:cs="Courier New"/>
          <w:sz w:val="24"/>
          <w:szCs w:val="24"/>
          <w:lang w:eastAsia="el-GR"/>
        </w:rPr>
        <w:t>:</w:t>
      </w:r>
      <w:r>
        <w:rPr>
          <w:rFonts w:ascii="Calibri" w:eastAsia="Times New Roman" w:hAnsi="Calibri" w:cs="Courier New"/>
          <w:sz w:val="24"/>
          <w:szCs w:val="24"/>
          <w:lang w:eastAsia="el-GR"/>
        </w:rPr>
        <w:t xml:space="preserve"> </w:t>
      </w:r>
    </w:p>
    <w:p w:rsidR="00676CED" w:rsidRPr="00EA792F" w:rsidRDefault="00EA792F" w:rsidP="00426768">
      <w:pPr>
        <w:pStyle w:val="a3"/>
        <w:numPr>
          <w:ilvl w:val="0"/>
          <w:numId w:val="2"/>
        </w:numPr>
        <w:spacing w:after="0" w:line="28" w:lineRule="atLeast"/>
        <w:jc w:val="both"/>
        <w:rPr>
          <w:rFonts w:ascii="Calibri" w:eastAsia="Times New Roman" w:hAnsi="Calibri" w:cs="Courier New"/>
          <w:sz w:val="24"/>
          <w:szCs w:val="24"/>
          <w:lang w:eastAsia="el-GR"/>
        </w:rPr>
      </w:pPr>
      <w:r w:rsidRPr="00EA792F">
        <w:rPr>
          <w:rFonts w:ascii="Calibri" w:eastAsia="Times New Roman" w:hAnsi="Calibri" w:cs="Courier New"/>
          <w:sz w:val="24"/>
          <w:szCs w:val="24"/>
          <w:lang w:eastAsia="el-GR"/>
        </w:rPr>
        <w:t>200 μ2 για γήπεδα εμβαδού τουλάχιστον 4 στρεμμάτων</w:t>
      </w:r>
    </w:p>
    <w:p w:rsidR="00811EFC" w:rsidRPr="00EA792F" w:rsidRDefault="00EA792F" w:rsidP="00426768">
      <w:pPr>
        <w:pStyle w:val="a3"/>
        <w:numPr>
          <w:ilvl w:val="0"/>
          <w:numId w:val="2"/>
        </w:numPr>
        <w:spacing w:after="0" w:line="28" w:lineRule="atLeast"/>
        <w:jc w:val="both"/>
        <w:rPr>
          <w:rFonts w:ascii="Calibri" w:eastAsia="Times New Roman" w:hAnsi="Calibri" w:cs="Courier New"/>
          <w:sz w:val="24"/>
          <w:szCs w:val="24"/>
          <w:lang w:eastAsia="el-GR"/>
        </w:rPr>
      </w:pPr>
      <w:r w:rsidRPr="00EA792F">
        <w:rPr>
          <w:rFonts w:ascii="Calibri" w:eastAsia="Times New Roman" w:hAnsi="Calibri" w:cs="Courier New"/>
          <w:sz w:val="24"/>
          <w:szCs w:val="24"/>
          <w:lang w:eastAsia="el-GR"/>
        </w:rPr>
        <w:t>280 μ2 για γήπεδα εμβαδού τουλάχιστον 8 στρεμμάτων</w:t>
      </w:r>
    </w:p>
    <w:p w:rsidR="00945640" w:rsidRDefault="00EA792F" w:rsidP="00426768">
      <w:pPr>
        <w:pStyle w:val="a3"/>
        <w:numPr>
          <w:ilvl w:val="0"/>
          <w:numId w:val="2"/>
        </w:numPr>
        <w:spacing w:after="0" w:line="28" w:lineRule="atLeast"/>
        <w:jc w:val="both"/>
        <w:rPr>
          <w:rFonts w:ascii="Calibri" w:eastAsia="Times New Roman" w:hAnsi="Calibri" w:cs="Courier New"/>
          <w:sz w:val="24"/>
          <w:szCs w:val="24"/>
          <w:lang w:eastAsia="el-GR"/>
        </w:rPr>
      </w:pPr>
      <w:r w:rsidRPr="00EA792F">
        <w:rPr>
          <w:rFonts w:ascii="Calibri" w:eastAsia="Times New Roman" w:hAnsi="Calibri" w:cs="Courier New"/>
          <w:sz w:val="24"/>
          <w:szCs w:val="24"/>
          <w:lang w:eastAsia="el-GR"/>
        </w:rPr>
        <w:t>400 μ2 για γήπεδα εμβαδού τουλάχιστον 20 στρεμμάτων</w:t>
      </w:r>
    </w:p>
    <w:p w:rsidR="003443A2"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EA792F">
        <w:rPr>
          <w:rFonts w:ascii="Calibri" w:eastAsia="Times New Roman" w:hAnsi="Calibri" w:cs="Courier New"/>
          <w:sz w:val="24"/>
          <w:szCs w:val="24"/>
          <w:lang w:eastAsia="el-GR"/>
        </w:rPr>
        <w:t xml:space="preserve">Οι περιορισμοί αυτοί, είναι ανεκτοί </w:t>
      </w:r>
      <w:r w:rsidR="003443A2">
        <w:rPr>
          <w:rFonts w:ascii="Calibri" w:eastAsia="Times New Roman" w:hAnsi="Calibri" w:cs="Courier New"/>
          <w:sz w:val="24"/>
          <w:szCs w:val="24"/>
          <w:lang w:eastAsia="el-GR"/>
        </w:rPr>
        <w:t xml:space="preserve">μόνο </w:t>
      </w:r>
      <w:r w:rsidR="00EA792F">
        <w:rPr>
          <w:rFonts w:ascii="Calibri" w:eastAsia="Times New Roman" w:hAnsi="Calibri" w:cs="Courier New"/>
          <w:sz w:val="24"/>
          <w:szCs w:val="24"/>
          <w:lang w:eastAsia="el-GR"/>
        </w:rPr>
        <w:t xml:space="preserve">για την περίπτωση των </w:t>
      </w:r>
      <w:r w:rsidR="00EA792F" w:rsidRPr="00945640">
        <w:rPr>
          <w:rFonts w:ascii="Calibri" w:eastAsia="Times New Roman" w:hAnsi="Calibri" w:cs="Courier New"/>
          <w:sz w:val="24"/>
          <w:szCs w:val="24"/>
          <w:lang w:eastAsia="el-GR"/>
        </w:rPr>
        <w:t>τουριστικ</w:t>
      </w:r>
      <w:r w:rsidR="00EA792F">
        <w:rPr>
          <w:rFonts w:ascii="Calibri" w:eastAsia="Times New Roman" w:hAnsi="Calibri" w:cs="Courier New"/>
          <w:sz w:val="24"/>
          <w:szCs w:val="24"/>
          <w:lang w:eastAsia="el-GR"/>
        </w:rPr>
        <w:t>ών</w:t>
      </w:r>
      <w:r w:rsidR="00EA792F" w:rsidRPr="00945640">
        <w:rPr>
          <w:rFonts w:ascii="Calibri" w:eastAsia="Times New Roman" w:hAnsi="Calibri" w:cs="Courier New"/>
          <w:sz w:val="24"/>
          <w:szCs w:val="24"/>
          <w:lang w:eastAsia="el-GR"/>
        </w:rPr>
        <w:t xml:space="preserve"> επιπλωμέν</w:t>
      </w:r>
      <w:r w:rsidR="00EA792F">
        <w:rPr>
          <w:rFonts w:ascii="Calibri" w:eastAsia="Times New Roman" w:hAnsi="Calibri" w:cs="Courier New"/>
          <w:sz w:val="24"/>
          <w:szCs w:val="24"/>
          <w:lang w:eastAsia="el-GR"/>
        </w:rPr>
        <w:t>ων</w:t>
      </w:r>
      <w:r w:rsidR="00EA792F" w:rsidRPr="00945640">
        <w:rPr>
          <w:rFonts w:ascii="Calibri" w:eastAsia="Times New Roman" w:hAnsi="Calibri" w:cs="Courier New"/>
          <w:sz w:val="24"/>
          <w:szCs w:val="24"/>
          <w:lang w:eastAsia="el-GR"/>
        </w:rPr>
        <w:t xml:space="preserve"> κατοικ</w:t>
      </w:r>
      <w:r w:rsidR="00EA792F">
        <w:rPr>
          <w:rFonts w:ascii="Calibri" w:eastAsia="Times New Roman" w:hAnsi="Calibri" w:cs="Courier New"/>
          <w:sz w:val="24"/>
          <w:szCs w:val="24"/>
          <w:lang w:eastAsia="el-GR"/>
        </w:rPr>
        <w:t xml:space="preserve">ιών (πρόκειται για </w:t>
      </w:r>
      <w:r w:rsidR="003443A2">
        <w:rPr>
          <w:rFonts w:ascii="Calibri" w:eastAsia="Times New Roman" w:hAnsi="Calibri" w:cs="Courier New"/>
          <w:sz w:val="24"/>
          <w:szCs w:val="24"/>
          <w:lang w:eastAsia="el-GR"/>
        </w:rPr>
        <w:t xml:space="preserve">τα </w:t>
      </w:r>
      <w:r w:rsidR="00EA792F" w:rsidRPr="00945640">
        <w:rPr>
          <w:rFonts w:ascii="Calibri" w:eastAsia="Times New Roman" w:hAnsi="Calibri" w:cs="Courier New"/>
          <w:sz w:val="24"/>
          <w:szCs w:val="24"/>
          <w:lang w:eastAsia="el-GR"/>
        </w:rPr>
        <w:t>επιλέξιμ</w:t>
      </w:r>
      <w:r w:rsidR="003443A2">
        <w:rPr>
          <w:rFonts w:ascii="Calibri" w:eastAsia="Times New Roman" w:hAnsi="Calibri" w:cs="Courier New"/>
          <w:sz w:val="24"/>
          <w:szCs w:val="24"/>
          <w:lang w:eastAsia="el-GR"/>
        </w:rPr>
        <w:t>α</w:t>
      </w:r>
      <w:r w:rsidR="00EA792F" w:rsidRPr="00945640">
        <w:rPr>
          <w:rFonts w:ascii="Calibri" w:eastAsia="Times New Roman" w:hAnsi="Calibri" w:cs="Courier New"/>
          <w:sz w:val="24"/>
          <w:szCs w:val="24"/>
          <w:lang w:eastAsia="el-GR"/>
        </w:rPr>
        <w:t xml:space="preserve"> στα χρηματοδοτικά προγράμματα του ΥΠΑΑΤ</w:t>
      </w:r>
      <w:r w:rsidR="008866DA" w:rsidRPr="008866DA">
        <w:rPr>
          <w:rFonts w:ascii="Calibri" w:eastAsia="Times New Roman" w:hAnsi="Calibri" w:cs="Courier New"/>
          <w:sz w:val="24"/>
          <w:szCs w:val="24"/>
          <w:lang w:eastAsia="el-GR"/>
        </w:rPr>
        <w:t xml:space="preserve"> </w:t>
      </w:r>
      <w:r w:rsidR="008866DA" w:rsidRPr="00945640">
        <w:rPr>
          <w:rFonts w:ascii="Calibri" w:eastAsia="Times New Roman" w:hAnsi="Calibri" w:cs="Courier New"/>
          <w:sz w:val="24"/>
          <w:szCs w:val="24"/>
          <w:lang w:eastAsia="el-GR"/>
        </w:rPr>
        <w:t>αυτοεξυπηρετούμενα καταλύματα</w:t>
      </w:r>
      <w:r w:rsidR="00EA792F">
        <w:rPr>
          <w:rFonts w:ascii="Calibri" w:eastAsia="Times New Roman" w:hAnsi="Calibri" w:cs="Courier New"/>
          <w:sz w:val="24"/>
          <w:szCs w:val="24"/>
          <w:lang w:eastAsia="el-GR"/>
        </w:rPr>
        <w:t>) που δεν συνδυάζονται με ίδρυση χώρου εστίασης (</w:t>
      </w:r>
      <w:r w:rsidR="003443A2">
        <w:rPr>
          <w:rFonts w:ascii="Calibri" w:eastAsia="Times New Roman" w:hAnsi="Calibri" w:cs="Courier New"/>
          <w:sz w:val="24"/>
          <w:szCs w:val="24"/>
          <w:lang w:eastAsia="el-GR"/>
        </w:rPr>
        <w:t>παράδειγμα</w:t>
      </w:r>
      <w:r w:rsidR="008866DA">
        <w:rPr>
          <w:rFonts w:ascii="Calibri" w:eastAsia="Times New Roman" w:hAnsi="Calibri" w:cs="Courier New"/>
          <w:sz w:val="24"/>
          <w:szCs w:val="24"/>
          <w:lang w:eastAsia="el-GR"/>
        </w:rPr>
        <w:t>:</w:t>
      </w:r>
      <w:r w:rsidR="003443A2">
        <w:rPr>
          <w:rFonts w:ascii="Calibri" w:eastAsia="Times New Roman" w:hAnsi="Calibri" w:cs="Courier New"/>
          <w:sz w:val="24"/>
          <w:szCs w:val="24"/>
          <w:lang w:eastAsia="el-GR"/>
        </w:rPr>
        <w:t xml:space="preserve"> </w:t>
      </w:r>
      <w:r w:rsidR="00C5050E">
        <w:rPr>
          <w:rFonts w:ascii="Calibri" w:eastAsia="Times New Roman" w:hAnsi="Calibri" w:cs="Courier New"/>
          <w:sz w:val="24"/>
          <w:szCs w:val="24"/>
          <w:lang w:eastAsia="el-GR"/>
        </w:rPr>
        <w:t xml:space="preserve">σε γήπεδο 4 στρεμμάτων, κατασκευάζονται </w:t>
      </w:r>
      <w:r w:rsidR="00EA792F">
        <w:rPr>
          <w:rFonts w:ascii="Calibri" w:eastAsia="Times New Roman" w:hAnsi="Calibri" w:cs="Courier New"/>
          <w:sz w:val="24"/>
          <w:szCs w:val="24"/>
          <w:lang w:eastAsia="el-GR"/>
        </w:rPr>
        <w:t>5 κατοικίες των 40 μ2</w:t>
      </w:r>
      <w:r w:rsidR="00C5050E">
        <w:rPr>
          <w:rFonts w:ascii="Calibri" w:eastAsia="Times New Roman" w:hAnsi="Calibri" w:cs="Courier New"/>
          <w:sz w:val="24"/>
          <w:szCs w:val="24"/>
          <w:lang w:eastAsia="el-GR"/>
        </w:rPr>
        <w:t>, συνολικού εμβαδού 200 μ2,</w:t>
      </w:r>
      <w:r w:rsidR="00EA792F">
        <w:rPr>
          <w:rFonts w:ascii="Calibri" w:eastAsia="Times New Roman" w:hAnsi="Calibri" w:cs="Courier New"/>
          <w:sz w:val="24"/>
          <w:szCs w:val="24"/>
          <w:lang w:eastAsia="el-GR"/>
        </w:rPr>
        <w:t xml:space="preserve"> που συγκεντρώνουν </w:t>
      </w:r>
      <w:r w:rsidR="00C5050E">
        <w:rPr>
          <w:rFonts w:ascii="Calibri" w:eastAsia="Times New Roman" w:hAnsi="Calibri" w:cs="Courier New"/>
          <w:sz w:val="24"/>
          <w:szCs w:val="24"/>
          <w:lang w:eastAsia="el-GR"/>
        </w:rPr>
        <w:t>τον</w:t>
      </w:r>
      <w:r w:rsidR="00EA792F">
        <w:rPr>
          <w:rFonts w:ascii="Calibri" w:eastAsia="Times New Roman" w:hAnsi="Calibri" w:cs="Courier New"/>
          <w:sz w:val="24"/>
          <w:szCs w:val="24"/>
          <w:lang w:eastAsia="el-GR"/>
        </w:rPr>
        <w:t xml:space="preserve"> επιλέξιμ</w:t>
      </w:r>
      <w:r w:rsidR="00C5050E">
        <w:rPr>
          <w:rFonts w:ascii="Calibri" w:eastAsia="Times New Roman" w:hAnsi="Calibri" w:cs="Courier New"/>
          <w:sz w:val="24"/>
          <w:szCs w:val="24"/>
          <w:lang w:eastAsia="el-GR"/>
        </w:rPr>
        <w:t>ο</w:t>
      </w:r>
      <w:r w:rsidR="00EA792F">
        <w:rPr>
          <w:rFonts w:ascii="Calibri" w:eastAsia="Times New Roman" w:hAnsi="Calibri" w:cs="Courier New"/>
          <w:sz w:val="24"/>
          <w:szCs w:val="24"/>
          <w:lang w:eastAsia="el-GR"/>
        </w:rPr>
        <w:t xml:space="preserve"> </w:t>
      </w:r>
      <w:r w:rsidR="00C5050E">
        <w:rPr>
          <w:rFonts w:ascii="Calibri" w:eastAsia="Times New Roman" w:hAnsi="Calibri" w:cs="Courier New"/>
          <w:sz w:val="24"/>
          <w:szCs w:val="24"/>
          <w:lang w:eastAsia="el-GR"/>
        </w:rPr>
        <w:t>αριθμό κλινών:</w:t>
      </w:r>
      <w:r w:rsidR="00EA792F">
        <w:rPr>
          <w:rFonts w:ascii="Calibri" w:eastAsia="Times New Roman" w:hAnsi="Calibri" w:cs="Courier New"/>
          <w:sz w:val="24"/>
          <w:szCs w:val="24"/>
          <w:lang w:eastAsia="el-GR"/>
        </w:rPr>
        <w:t xml:space="preserve"> </w:t>
      </w:r>
      <w:r w:rsidR="008866DA">
        <w:rPr>
          <w:rFonts w:ascii="Calibri" w:eastAsia="Times New Roman" w:hAnsi="Calibri" w:cs="Courier New"/>
          <w:sz w:val="24"/>
          <w:szCs w:val="24"/>
          <w:lang w:eastAsia="el-GR"/>
        </w:rPr>
        <w:t>5</w:t>
      </w:r>
      <w:r w:rsidR="00C5050E">
        <w:rPr>
          <w:rFonts w:ascii="Calibri" w:eastAsia="Times New Roman" w:hAnsi="Calibri" w:cs="Courier New"/>
          <w:sz w:val="24"/>
          <w:szCs w:val="24"/>
          <w:lang w:eastAsia="el-GR"/>
        </w:rPr>
        <w:t xml:space="preserve"> κατοικίες </w:t>
      </w:r>
      <w:r w:rsidR="008866DA">
        <w:rPr>
          <w:rFonts w:ascii="Calibri" w:eastAsia="Times New Roman" w:hAnsi="Calibri" w:cs="Courier New"/>
          <w:sz w:val="24"/>
          <w:szCs w:val="24"/>
          <w:lang w:eastAsia="el-GR"/>
        </w:rPr>
        <w:t>Χ2</w:t>
      </w:r>
      <w:r w:rsidR="00C5050E">
        <w:rPr>
          <w:rFonts w:ascii="Calibri" w:eastAsia="Times New Roman" w:hAnsi="Calibri" w:cs="Courier New"/>
          <w:sz w:val="24"/>
          <w:szCs w:val="24"/>
          <w:lang w:eastAsia="el-GR"/>
        </w:rPr>
        <w:t xml:space="preserve"> κλίνες ανά κατοικία</w:t>
      </w:r>
      <w:r w:rsidR="008866DA">
        <w:rPr>
          <w:rFonts w:ascii="Calibri" w:eastAsia="Times New Roman" w:hAnsi="Calibri" w:cs="Courier New"/>
          <w:sz w:val="24"/>
          <w:szCs w:val="24"/>
          <w:lang w:eastAsia="el-GR"/>
        </w:rPr>
        <w:t xml:space="preserve"> = </w:t>
      </w:r>
      <w:r w:rsidR="00C5050E">
        <w:rPr>
          <w:rFonts w:ascii="Calibri" w:eastAsia="Times New Roman" w:hAnsi="Calibri" w:cs="Courier New"/>
          <w:sz w:val="24"/>
          <w:szCs w:val="24"/>
          <w:lang w:eastAsia="el-GR"/>
        </w:rPr>
        <w:t>10 κλίνες</w:t>
      </w:r>
      <w:r w:rsidR="00EA792F">
        <w:rPr>
          <w:rFonts w:ascii="Calibri" w:eastAsia="Times New Roman" w:hAnsi="Calibri" w:cs="Courier New"/>
          <w:sz w:val="24"/>
          <w:szCs w:val="24"/>
          <w:lang w:eastAsia="el-GR"/>
        </w:rPr>
        <w:t>)</w:t>
      </w:r>
      <w:r w:rsidR="003443A2">
        <w:rPr>
          <w:rFonts w:ascii="Calibri" w:eastAsia="Times New Roman" w:hAnsi="Calibri" w:cs="Courier New"/>
          <w:sz w:val="24"/>
          <w:szCs w:val="24"/>
          <w:lang w:eastAsia="el-GR"/>
        </w:rPr>
        <w:t>.</w:t>
      </w:r>
    </w:p>
    <w:p w:rsidR="003443A2" w:rsidRDefault="003443A2" w:rsidP="00426768">
      <w:pPr>
        <w:spacing w:after="0" w:line="28" w:lineRule="atLeast"/>
        <w:jc w:val="both"/>
        <w:rPr>
          <w:rFonts w:ascii="Calibri" w:eastAsia="Times New Roman" w:hAnsi="Calibri" w:cs="Courier New"/>
          <w:sz w:val="24"/>
          <w:szCs w:val="24"/>
          <w:lang w:eastAsia="el-GR"/>
        </w:rPr>
      </w:pPr>
    </w:p>
    <w:p w:rsidR="003443A2"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3443A2">
        <w:rPr>
          <w:rFonts w:ascii="Calibri" w:eastAsia="Times New Roman" w:hAnsi="Calibri" w:cs="Courier New"/>
          <w:sz w:val="24"/>
          <w:szCs w:val="24"/>
          <w:lang w:eastAsia="el-GR"/>
        </w:rPr>
        <w:t xml:space="preserve">Στην περίπτωση </w:t>
      </w:r>
      <w:r w:rsidR="00862CC1">
        <w:rPr>
          <w:rFonts w:ascii="Calibri" w:eastAsia="Times New Roman" w:hAnsi="Calibri" w:cs="Courier New"/>
          <w:sz w:val="24"/>
          <w:szCs w:val="24"/>
          <w:lang w:eastAsia="el-GR"/>
        </w:rPr>
        <w:t xml:space="preserve">όμως </w:t>
      </w:r>
      <w:r w:rsidR="003443A2">
        <w:rPr>
          <w:rFonts w:ascii="Calibri" w:eastAsia="Times New Roman" w:hAnsi="Calibri" w:cs="Courier New"/>
          <w:sz w:val="24"/>
          <w:szCs w:val="24"/>
          <w:lang w:eastAsia="el-GR"/>
        </w:rPr>
        <w:t xml:space="preserve">ίδρυσης ΕΕΔΔ και ιδιαίτερα όταν αυτά συνδυάζονται με παροχή  υπηρεσιών εστίασης, οι </w:t>
      </w:r>
      <w:r w:rsidR="00862CC1">
        <w:rPr>
          <w:rFonts w:ascii="Calibri" w:eastAsia="Times New Roman" w:hAnsi="Calibri" w:cs="Courier New"/>
          <w:sz w:val="24"/>
          <w:szCs w:val="24"/>
          <w:lang w:eastAsia="el-GR"/>
        </w:rPr>
        <w:t xml:space="preserve">περιγραφέντες </w:t>
      </w:r>
      <w:r w:rsidR="003443A2">
        <w:rPr>
          <w:rFonts w:ascii="Calibri" w:eastAsia="Times New Roman" w:hAnsi="Calibri" w:cs="Courier New"/>
          <w:sz w:val="24"/>
          <w:szCs w:val="24"/>
          <w:lang w:eastAsia="el-GR"/>
        </w:rPr>
        <w:t>ανωτέρω περιορισμοί είναι κατά κανόνα απαγορευτικοί για τους εξής λόγους:</w:t>
      </w:r>
    </w:p>
    <w:p w:rsidR="003443A2"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3443A2">
        <w:rPr>
          <w:rFonts w:ascii="Calibri" w:eastAsia="Times New Roman" w:hAnsi="Calibri" w:cs="Courier New"/>
          <w:sz w:val="24"/>
          <w:szCs w:val="24"/>
          <w:lang w:eastAsia="el-GR"/>
        </w:rPr>
        <w:t xml:space="preserve">1) Ο αμπελουργικός κλήρος στις περισσότερες περιοχές είναι κατακερματισμένος σε πολλά </w:t>
      </w:r>
      <w:proofErr w:type="spellStart"/>
      <w:r w:rsidR="003443A2">
        <w:rPr>
          <w:rFonts w:ascii="Calibri" w:eastAsia="Times New Roman" w:hAnsi="Calibri" w:cs="Courier New"/>
          <w:sz w:val="24"/>
          <w:szCs w:val="24"/>
          <w:lang w:eastAsia="el-GR"/>
        </w:rPr>
        <w:t>αμπελοτόπια</w:t>
      </w:r>
      <w:proofErr w:type="spellEnd"/>
      <w:r w:rsidR="003443A2">
        <w:rPr>
          <w:rFonts w:ascii="Calibri" w:eastAsia="Times New Roman" w:hAnsi="Calibri" w:cs="Courier New"/>
          <w:sz w:val="24"/>
          <w:szCs w:val="24"/>
          <w:lang w:eastAsia="el-GR"/>
        </w:rPr>
        <w:t xml:space="preserve">, με αποτέλεσμα οι αμπελώνες </w:t>
      </w:r>
      <w:r w:rsidR="00862CC1">
        <w:rPr>
          <w:rFonts w:ascii="Calibri" w:eastAsia="Times New Roman" w:hAnsi="Calibri" w:cs="Courier New"/>
          <w:sz w:val="24"/>
          <w:szCs w:val="24"/>
          <w:lang w:eastAsia="el-GR"/>
        </w:rPr>
        <w:t>με εμβαδόν πολύ μεγαλύτερο των 4 στρεμμάτων,</w:t>
      </w:r>
      <w:r w:rsidR="008866DA">
        <w:rPr>
          <w:rFonts w:ascii="Calibri" w:eastAsia="Times New Roman" w:hAnsi="Calibri" w:cs="Courier New"/>
          <w:sz w:val="24"/>
          <w:szCs w:val="24"/>
          <w:lang w:eastAsia="el-GR"/>
        </w:rPr>
        <w:t xml:space="preserve"> που θα </w:t>
      </w:r>
      <w:r w:rsidR="00862CC1">
        <w:rPr>
          <w:rFonts w:ascii="Calibri" w:eastAsia="Times New Roman" w:hAnsi="Calibri" w:cs="Courier New"/>
          <w:sz w:val="24"/>
          <w:szCs w:val="24"/>
          <w:lang w:eastAsia="el-GR"/>
        </w:rPr>
        <w:t xml:space="preserve">τους </w:t>
      </w:r>
      <w:r w:rsidR="008866DA">
        <w:rPr>
          <w:rFonts w:ascii="Calibri" w:eastAsia="Times New Roman" w:hAnsi="Calibri" w:cs="Courier New"/>
          <w:sz w:val="24"/>
          <w:szCs w:val="24"/>
          <w:lang w:eastAsia="el-GR"/>
        </w:rPr>
        <w:t xml:space="preserve">παρείχε τη δυνατότητα αυξημένης </w:t>
      </w:r>
      <w:r w:rsidR="00862CC1">
        <w:rPr>
          <w:rFonts w:ascii="Calibri" w:eastAsia="Times New Roman" w:hAnsi="Calibri" w:cs="Courier New"/>
          <w:sz w:val="24"/>
          <w:szCs w:val="24"/>
          <w:lang w:eastAsia="el-GR"/>
        </w:rPr>
        <w:t>και</w:t>
      </w:r>
      <w:r w:rsidR="00862CC1" w:rsidRPr="00862CC1">
        <w:rPr>
          <w:rFonts w:ascii="Calibri" w:eastAsia="Times New Roman" w:hAnsi="Calibri" w:cs="Courier New"/>
          <w:sz w:val="24"/>
          <w:szCs w:val="24"/>
          <w:lang w:eastAsia="el-GR"/>
        </w:rPr>
        <w:t xml:space="preserve"> </w:t>
      </w:r>
      <w:r w:rsidR="00862CC1">
        <w:rPr>
          <w:rFonts w:ascii="Calibri" w:eastAsia="Times New Roman" w:hAnsi="Calibri" w:cs="Courier New"/>
          <w:sz w:val="24"/>
          <w:szCs w:val="24"/>
          <w:lang w:eastAsia="el-GR"/>
        </w:rPr>
        <w:t xml:space="preserve">επαρκούς για εγκαταστάσεις διαμονής και εστίασης </w:t>
      </w:r>
      <w:r w:rsidR="008866DA">
        <w:rPr>
          <w:rFonts w:ascii="Calibri" w:eastAsia="Times New Roman" w:hAnsi="Calibri" w:cs="Courier New"/>
          <w:sz w:val="24"/>
          <w:szCs w:val="24"/>
          <w:lang w:eastAsia="el-GR"/>
        </w:rPr>
        <w:t>επιτρεπόμε</w:t>
      </w:r>
      <w:r w:rsidR="00862CC1">
        <w:rPr>
          <w:rFonts w:ascii="Calibri" w:eastAsia="Times New Roman" w:hAnsi="Calibri" w:cs="Courier New"/>
          <w:sz w:val="24"/>
          <w:szCs w:val="24"/>
          <w:lang w:eastAsia="el-GR"/>
        </w:rPr>
        <w:t>νης δόμησης,</w:t>
      </w:r>
      <w:r w:rsidR="003443A2">
        <w:rPr>
          <w:rFonts w:ascii="Calibri" w:eastAsia="Times New Roman" w:hAnsi="Calibri" w:cs="Courier New"/>
          <w:sz w:val="24"/>
          <w:szCs w:val="24"/>
          <w:lang w:eastAsia="el-GR"/>
        </w:rPr>
        <w:t xml:space="preserve"> </w:t>
      </w:r>
      <w:r w:rsidR="00862CC1">
        <w:rPr>
          <w:rFonts w:ascii="Calibri" w:eastAsia="Times New Roman" w:hAnsi="Calibri" w:cs="Courier New"/>
          <w:sz w:val="24"/>
          <w:szCs w:val="24"/>
          <w:lang w:eastAsia="el-GR"/>
        </w:rPr>
        <w:t>σπανίζουν</w:t>
      </w:r>
      <w:r w:rsidR="00F86C61">
        <w:rPr>
          <w:rFonts w:ascii="Calibri" w:eastAsia="Times New Roman" w:hAnsi="Calibri" w:cs="Courier New"/>
          <w:sz w:val="24"/>
          <w:szCs w:val="24"/>
          <w:lang w:eastAsia="el-GR"/>
        </w:rPr>
        <w:t>.</w:t>
      </w:r>
    </w:p>
    <w:p w:rsidR="003443A2"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lastRenderedPageBreak/>
        <w:t xml:space="preserve">        </w:t>
      </w:r>
      <w:r w:rsidR="003443A2">
        <w:rPr>
          <w:rFonts w:ascii="Calibri" w:eastAsia="Times New Roman" w:hAnsi="Calibri" w:cs="Courier New"/>
          <w:sz w:val="24"/>
          <w:szCs w:val="24"/>
          <w:lang w:eastAsia="el-GR"/>
        </w:rPr>
        <w:t xml:space="preserve">2) </w:t>
      </w:r>
      <w:r w:rsidR="000E2E7A">
        <w:rPr>
          <w:rFonts w:ascii="Calibri" w:eastAsia="Times New Roman" w:hAnsi="Calibri" w:cs="Courier New"/>
          <w:sz w:val="24"/>
          <w:szCs w:val="24"/>
          <w:lang w:eastAsia="el-GR"/>
        </w:rPr>
        <w:t>Η συνολική επιφάνεια δόμησης</w:t>
      </w:r>
      <w:r w:rsidR="003443A2">
        <w:rPr>
          <w:rFonts w:ascii="Calibri" w:eastAsia="Times New Roman" w:hAnsi="Calibri" w:cs="Courier New"/>
          <w:sz w:val="24"/>
          <w:szCs w:val="24"/>
          <w:lang w:eastAsia="el-GR"/>
        </w:rPr>
        <w:t xml:space="preserve"> 200 </w:t>
      </w:r>
      <w:r w:rsidR="000E2E7A">
        <w:rPr>
          <w:rFonts w:ascii="Calibri" w:eastAsia="Times New Roman" w:hAnsi="Calibri" w:cs="Courier New"/>
          <w:sz w:val="24"/>
          <w:szCs w:val="24"/>
          <w:lang w:eastAsia="el-GR"/>
        </w:rPr>
        <w:t>μ2, ως μέγιστη</w:t>
      </w:r>
      <w:r w:rsidR="003443A2">
        <w:rPr>
          <w:rFonts w:ascii="Calibri" w:eastAsia="Times New Roman" w:hAnsi="Calibri" w:cs="Courier New"/>
          <w:sz w:val="24"/>
          <w:szCs w:val="24"/>
          <w:lang w:eastAsia="el-GR"/>
        </w:rPr>
        <w:t xml:space="preserve"> </w:t>
      </w:r>
      <w:r w:rsidR="00F86C61">
        <w:rPr>
          <w:rFonts w:ascii="Calibri" w:eastAsia="Times New Roman" w:hAnsi="Calibri" w:cs="Courier New"/>
          <w:sz w:val="24"/>
          <w:szCs w:val="24"/>
          <w:lang w:eastAsia="el-GR"/>
        </w:rPr>
        <w:t xml:space="preserve">επιτρεπόμενη </w:t>
      </w:r>
      <w:r w:rsidR="000E2E7A">
        <w:rPr>
          <w:rFonts w:ascii="Calibri" w:eastAsia="Times New Roman" w:hAnsi="Calibri" w:cs="Courier New"/>
          <w:sz w:val="24"/>
          <w:szCs w:val="24"/>
          <w:lang w:eastAsia="el-GR"/>
        </w:rPr>
        <w:t xml:space="preserve">για ένα ΕΕΔΔ που φιλοδοξεί να πάρει χαρακτηρισμό </w:t>
      </w:r>
      <w:r w:rsidR="00862CC1">
        <w:rPr>
          <w:rFonts w:ascii="Calibri" w:eastAsia="Times New Roman" w:hAnsi="Calibri" w:cs="Courier New"/>
          <w:sz w:val="24"/>
          <w:szCs w:val="24"/>
          <w:lang w:eastAsia="el-GR"/>
        </w:rPr>
        <w:t xml:space="preserve">των επιλέξιμων στα προγράμματα χρηματοδότησης του ΥΠΑΑΤ κατηγοριών </w:t>
      </w:r>
      <w:r w:rsidR="000E2E7A">
        <w:rPr>
          <w:rFonts w:ascii="Calibri" w:eastAsia="Times New Roman" w:hAnsi="Calibri" w:cs="Courier New"/>
          <w:sz w:val="24"/>
          <w:szCs w:val="24"/>
          <w:lang w:eastAsia="el-GR"/>
        </w:rPr>
        <w:t xml:space="preserve">3 ή 4 κλειδιών, </w:t>
      </w:r>
      <w:r w:rsidR="00F86C61">
        <w:rPr>
          <w:rFonts w:ascii="Calibri" w:eastAsia="Times New Roman" w:hAnsi="Calibri" w:cs="Courier New"/>
          <w:sz w:val="24"/>
          <w:szCs w:val="24"/>
          <w:lang w:eastAsia="el-GR"/>
        </w:rPr>
        <w:t>στις οποίες η πρόβλεψη κοινόχρηστων χώρων υποδοχής και άλλων παροχών (</w:t>
      </w:r>
      <w:r w:rsidR="000E2E7A">
        <w:rPr>
          <w:rFonts w:ascii="Calibri" w:eastAsia="Times New Roman" w:hAnsi="Calibri" w:cs="Courier New"/>
          <w:sz w:val="24"/>
          <w:szCs w:val="24"/>
          <w:lang w:eastAsia="el-GR"/>
        </w:rPr>
        <w:t xml:space="preserve">σε αντίθεση με τα αυτοεξυπηρετούμενα καταλύματα </w:t>
      </w:r>
      <w:r w:rsidR="00F86C61">
        <w:rPr>
          <w:rFonts w:ascii="Calibri" w:eastAsia="Times New Roman" w:hAnsi="Calibri" w:cs="Courier New"/>
          <w:sz w:val="24"/>
          <w:szCs w:val="24"/>
          <w:lang w:eastAsia="el-GR"/>
        </w:rPr>
        <w:t>-</w:t>
      </w:r>
      <w:r w:rsidR="000E2E7A">
        <w:rPr>
          <w:rFonts w:ascii="Calibri" w:eastAsia="Times New Roman" w:hAnsi="Calibri" w:cs="Courier New"/>
          <w:sz w:val="24"/>
          <w:szCs w:val="24"/>
          <w:lang w:eastAsia="el-GR"/>
        </w:rPr>
        <w:t xml:space="preserve">κατοικίες) είναι </w:t>
      </w:r>
      <w:proofErr w:type="spellStart"/>
      <w:r w:rsidR="000E2E7A">
        <w:rPr>
          <w:rFonts w:ascii="Calibri" w:eastAsia="Times New Roman" w:hAnsi="Calibri" w:cs="Courier New"/>
          <w:sz w:val="24"/>
          <w:szCs w:val="24"/>
          <w:lang w:eastAsia="el-GR"/>
        </w:rPr>
        <w:t>μοριοδοτούμενα</w:t>
      </w:r>
      <w:proofErr w:type="spellEnd"/>
      <w:r w:rsidR="000E2E7A">
        <w:rPr>
          <w:rFonts w:ascii="Calibri" w:eastAsia="Times New Roman" w:hAnsi="Calibri" w:cs="Courier New"/>
          <w:sz w:val="24"/>
          <w:szCs w:val="24"/>
          <w:lang w:eastAsia="el-GR"/>
        </w:rPr>
        <w:t xml:space="preserve"> και </w:t>
      </w:r>
      <w:proofErr w:type="spellStart"/>
      <w:r w:rsidR="000E2E7A">
        <w:rPr>
          <w:rFonts w:ascii="Calibri" w:eastAsia="Times New Roman" w:hAnsi="Calibri" w:cs="Courier New"/>
          <w:sz w:val="24"/>
          <w:szCs w:val="24"/>
          <w:lang w:eastAsia="el-GR"/>
        </w:rPr>
        <w:t>βαθμολο</w:t>
      </w:r>
      <w:proofErr w:type="spellEnd"/>
      <w:r>
        <w:rPr>
          <w:rFonts w:ascii="Calibri" w:eastAsia="Times New Roman" w:hAnsi="Calibri" w:cs="Courier New"/>
          <w:sz w:val="24"/>
          <w:szCs w:val="24"/>
          <w:lang w:eastAsia="el-GR"/>
        </w:rPr>
        <w:t>-</w:t>
      </w:r>
      <w:proofErr w:type="spellStart"/>
      <w:r w:rsidR="000E2E7A">
        <w:rPr>
          <w:rFonts w:ascii="Calibri" w:eastAsia="Times New Roman" w:hAnsi="Calibri" w:cs="Courier New"/>
          <w:sz w:val="24"/>
          <w:szCs w:val="24"/>
          <w:lang w:eastAsia="el-GR"/>
        </w:rPr>
        <w:t>γούμενα</w:t>
      </w:r>
      <w:proofErr w:type="spellEnd"/>
      <w:r w:rsidR="000E2E7A">
        <w:rPr>
          <w:rFonts w:ascii="Calibri" w:eastAsia="Times New Roman" w:hAnsi="Calibri" w:cs="Courier New"/>
          <w:sz w:val="24"/>
          <w:szCs w:val="24"/>
          <w:lang w:eastAsia="el-GR"/>
        </w:rPr>
        <w:t xml:space="preserve"> κριτήρια, είναι πάρα πολύ μικρή και οδηγεί σ</w:t>
      </w:r>
      <w:r w:rsidR="009B14B6">
        <w:rPr>
          <w:rFonts w:ascii="Calibri" w:eastAsia="Times New Roman" w:hAnsi="Calibri" w:cs="Courier New"/>
          <w:sz w:val="24"/>
          <w:szCs w:val="24"/>
          <w:lang w:eastAsia="el-GR"/>
        </w:rPr>
        <w:t>το</w:t>
      </w:r>
      <w:r w:rsidR="000E2E7A">
        <w:rPr>
          <w:rFonts w:ascii="Calibri" w:eastAsia="Times New Roman" w:hAnsi="Calibri" w:cs="Courier New"/>
          <w:sz w:val="24"/>
          <w:szCs w:val="24"/>
          <w:lang w:eastAsia="el-GR"/>
        </w:rPr>
        <w:t xml:space="preserve"> σχεδιασμό ΕΕΔΔ </w:t>
      </w:r>
      <w:r w:rsidR="009B14B6">
        <w:rPr>
          <w:rFonts w:ascii="Calibri" w:eastAsia="Times New Roman" w:hAnsi="Calibri" w:cs="Courier New"/>
          <w:sz w:val="24"/>
          <w:szCs w:val="24"/>
          <w:lang w:eastAsia="el-GR"/>
        </w:rPr>
        <w:t xml:space="preserve">με μικρό πλήθος δωματίων / κλινών, που δεν διασφαλίζει ευχερή βιωσιμότητα. </w:t>
      </w:r>
      <w:r w:rsidR="000E2E7A">
        <w:rPr>
          <w:rFonts w:ascii="Calibri" w:eastAsia="Times New Roman" w:hAnsi="Calibri" w:cs="Courier New"/>
          <w:sz w:val="24"/>
          <w:szCs w:val="24"/>
          <w:lang w:eastAsia="el-GR"/>
        </w:rPr>
        <w:t xml:space="preserve">Εάν μάλιστα </w:t>
      </w:r>
      <w:r w:rsidR="00F86C61">
        <w:rPr>
          <w:rFonts w:ascii="Calibri" w:eastAsia="Times New Roman" w:hAnsi="Calibri" w:cs="Courier New"/>
          <w:sz w:val="24"/>
          <w:szCs w:val="24"/>
          <w:lang w:eastAsia="el-GR"/>
        </w:rPr>
        <w:t>ένα</w:t>
      </w:r>
      <w:r w:rsidR="000E2E7A">
        <w:rPr>
          <w:rFonts w:ascii="Calibri" w:eastAsia="Times New Roman" w:hAnsi="Calibri" w:cs="Courier New"/>
          <w:sz w:val="24"/>
          <w:szCs w:val="24"/>
          <w:lang w:eastAsia="el-GR"/>
        </w:rPr>
        <w:t xml:space="preserve"> ΕΕΔΔ συμπεριλάβει στις εγκαταστάσεις του και χώρο εστίασης ή αναψυχής (που </w:t>
      </w:r>
      <w:r w:rsidR="00862CC1">
        <w:rPr>
          <w:rFonts w:ascii="Calibri" w:eastAsia="Times New Roman" w:hAnsi="Calibri" w:cs="Courier New"/>
          <w:sz w:val="24"/>
          <w:szCs w:val="24"/>
          <w:lang w:eastAsia="el-GR"/>
        </w:rPr>
        <w:t xml:space="preserve">και αυτά </w:t>
      </w:r>
      <w:r w:rsidR="000E2E7A">
        <w:rPr>
          <w:rFonts w:ascii="Calibri" w:eastAsia="Times New Roman" w:hAnsi="Calibri" w:cs="Courier New"/>
          <w:sz w:val="24"/>
          <w:szCs w:val="24"/>
          <w:lang w:eastAsia="el-GR"/>
        </w:rPr>
        <w:t xml:space="preserve">είναι </w:t>
      </w:r>
      <w:proofErr w:type="spellStart"/>
      <w:r w:rsidR="000E2E7A">
        <w:rPr>
          <w:rFonts w:ascii="Calibri" w:eastAsia="Times New Roman" w:hAnsi="Calibri" w:cs="Courier New"/>
          <w:sz w:val="24"/>
          <w:szCs w:val="24"/>
          <w:lang w:eastAsia="el-GR"/>
        </w:rPr>
        <w:t>μοριοδοτούμενα</w:t>
      </w:r>
      <w:proofErr w:type="spellEnd"/>
      <w:r w:rsidR="000E2E7A">
        <w:rPr>
          <w:rFonts w:ascii="Calibri" w:eastAsia="Times New Roman" w:hAnsi="Calibri" w:cs="Courier New"/>
          <w:sz w:val="24"/>
          <w:szCs w:val="24"/>
          <w:lang w:eastAsia="el-GR"/>
        </w:rPr>
        <w:t xml:space="preserve"> κριτήρια, όπως και η προσαύξηση των ελαχίστων εμβαδών των δωματίων / διαμερισμάτων), ο αριθμός δωματίων και κλινών θα περιοριστεί σε μέγεθος ενδεχομένως μη επιλέξιμο και κυρίως μη βιώσιμο.</w:t>
      </w:r>
    </w:p>
    <w:p w:rsidR="008A5618" w:rsidRDefault="003443A2"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C042D3">
        <w:rPr>
          <w:rFonts w:ascii="Calibri" w:eastAsia="Times New Roman" w:hAnsi="Calibri" w:cs="Courier New"/>
          <w:sz w:val="24"/>
          <w:szCs w:val="24"/>
          <w:lang w:eastAsia="el-GR"/>
        </w:rPr>
        <w:t xml:space="preserve">      </w:t>
      </w:r>
      <w:r w:rsidR="000E2E7A">
        <w:rPr>
          <w:rFonts w:ascii="Calibri" w:eastAsia="Times New Roman" w:hAnsi="Calibri" w:cs="Courier New"/>
          <w:sz w:val="24"/>
          <w:szCs w:val="24"/>
          <w:lang w:eastAsia="el-GR"/>
        </w:rPr>
        <w:t>Από τα ανωτέρω προκύπτει ότι</w:t>
      </w:r>
      <w:r w:rsidR="00F86C61">
        <w:rPr>
          <w:rFonts w:ascii="Calibri" w:eastAsia="Times New Roman" w:hAnsi="Calibri" w:cs="Courier New"/>
          <w:sz w:val="24"/>
          <w:szCs w:val="24"/>
          <w:lang w:eastAsia="el-GR"/>
        </w:rPr>
        <w:t xml:space="preserve">, </w:t>
      </w:r>
      <w:r w:rsidR="009B14B6">
        <w:rPr>
          <w:rFonts w:ascii="Calibri" w:eastAsia="Times New Roman" w:hAnsi="Calibri" w:cs="Courier New"/>
          <w:sz w:val="24"/>
          <w:szCs w:val="24"/>
          <w:lang w:eastAsia="el-GR"/>
        </w:rPr>
        <w:t>οι περιορισμοί</w:t>
      </w:r>
      <w:r w:rsidR="00F86C61">
        <w:rPr>
          <w:rFonts w:ascii="Calibri" w:eastAsia="Times New Roman" w:hAnsi="Calibri" w:cs="Courier New"/>
          <w:sz w:val="24"/>
          <w:szCs w:val="24"/>
          <w:lang w:eastAsia="el-GR"/>
        </w:rPr>
        <w:t xml:space="preserve"> του Άρθρου</w:t>
      </w:r>
      <w:r w:rsidR="000E2E7A">
        <w:rPr>
          <w:rFonts w:ascii="Calibri" w:eastAsia="Times New Roman" w:hAnsi="Calibri" w:cs="Courier New"/>
          <w:sz w:val="24"/>
          <w:szCs w:val="24"/>
          <w:lang w:eastAsia="el-GR"/>
        </w:rPr>
        <w:t xml:space="preserve"> </w:t>
      </w:r>
      <w:r w:rsidR="00F86C61">
        <w:rPr>
          <w:rFonts w:ascii="Calibri" w:eastAsia="Times New Roman" w:hAnsi="Calibri" w:cs="Courier New"/>
          <w:sz w:val="24"/>
          <w:szCs w:val="24"/>
          <w:lang w:eastAsia="el-GR"/>
        </w:rPr>
        <w:t xml:space="preserve">6 του ΠΔ για την εκτός σχεδίου δόμηση, </w:t>
      </w:r>
      <w:r w:rsidR="009B14B6">
        <w:rPr>
          <w:rFonts w:ascii="Calibri" w:eastAsia="Times New Roman" w:hAnsi="Calibri" w:cs="Courier New"/>
          <w:sz w:val="24"/>
          <w:szCs w:val="24"/>
          <w:lang w:eastAsia="el-GR"/>
        </w:rPr>
        <w:t>είναι</w:t>
      </w:r>
      <w:r w:rsidR="00C042D3">
        <w:rPr>
          <w:rFonts w:ascii="Calibri" w:eastAsia="Times New Roman" w:hAnsi="Calibri" w:cs="Courier New"/>
          <w:sz w:val="24"/>
          <w:szCs w:val="24"/>
          <w:lang w:eastAsia="el-GR"/>
        </w:rPr>
        <w:t>, για την περίπτωση ίδρυσης ΕΕΔΔ σε αμπελώνες συνήθους μεγέθους (4 -7 στρεμμάτων)</w:t>
      </w:r>
      <w:r w:rsidR="009B14B6">
        <w:rPr>
          <w:rFonts w:ascii="Calibri" w:eastAsia="Times New Roman" w:hAnsi="Calibri" w:cs="Courier New"/>
          <w:sz w:val="24"/>
          <w:szCs w:val="24"/>
          <w:lang w:eastAsia="el-GR"/>
        </w:rPr>
        <w:t xml:space="preserve"> σχεδόν απαγορευτικοί</w:t>
      </w:r>
      <w:r w:rsidR="00C042D3">
        <w:rPr>
          <w:rFonts w:ascii="Calibri" w:eastAsia="Times New Roman" w:hAnsi="Calibri" w:cs="Courier New"/>
          <w:sz w:val="24"/>
          <w:szCs w:val="24"/>
          <w:lang w:eastAsia="el-GR"/>
        </w:rPr>
        <w:t>.</w:t>
      </w:r>
      <w:r w:rsidR="009B14B6">
        <w:rPr>
          <w:rFonts w:ascii="Calibri" w:eastAsia="Times New Roman" w:hAnsi="Calibri" w:cs="Courier New"/>
          <w:sz w:val="24"/>
          <w:szCs w:val="24"/>
          <w:lang w:eastAsia="el-GR"/>
        </w:rPr>
        <w:t xml:space="preserve"> </w:t>
      </w:r>
    </w:p>
    <w:p w:rsidR="008A5618" w:rsidRPr="00EA792F" w:rsidRDefault="00C042D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F86C61">
        <w:rPr>
          <w:rFonts w:ascii="Calibri" w:eastAsia="Times New Roman" w:hAnsi="Calibri" w:cs="Courier New"/>
          <w:sz w:val="24"/>
          <w:szCs w:val="24"/>
          <w:lang w:eastAsia="el-GR"/>
        </w:rPr>
        <w:t xml:space="preserve">Αν αντί του Άρθρου 6 του ΠΔ </w:t>
      </w:r>
      <w:r w:rsidR="00F86C61" w:rsidRPr="00277605">
        <w:rPr>
          <w:rFonts w:ascii="Calibri" w:eastAsia="Times New Roman" w:hAnsi="Calibri" w:cs="Courier New"/>
          <w:sz w:val="24"/>
          <w:szCs w:val="24"/>
          <w:lang w:eastAsia="el-GR"/>
        </w:rPr>
        <w:t xml:space="preserve">ΠΔ/24-5-85 </w:t>
      </w:r>
      <w:r w:rsidR="00F86C61">
        <w:rPr>
          <w:rFonts w:ascii="Calibri" w:eastAsia="Times New Roman" w:hAnsi="Calibri" w:cs="Courier New"/>
          <w:sz w:val="24"/>
          <w:szCs w:val="24"/>
          <w:lang w:eastAsia="el-GR"/>
        </w:rPr>
        <w:t>που αφορά τους όρους δόμησης κατοικίας</w:t>
      </w:r>
      <w:r w:rsidR="008A5618">
        <w:rPr>
          <w:rFonts w:ascii="Calibri" w:eastAsia="Times New Roman" w:hAnsi="Calibri" w:cs="Courier New"/>
          <w:sz w:val="24"/>
          <w:szCs w:val="24"/>
          <w:lang w:eastAsia="el-GR"/>
        </w:rPr>
        <w:t xml:space="preserve">  </w:t>
      </w:r>
      <w:r w:rsidR="00F86C61">
        <w:rPr>
          <w:rFonts w:ascii="Calibri" w:eastAsia="Times New Roman" w:hAnsi="Calibri" w:cs="Courier New"/>
          <w:sz w:val="24"/>
          <w:szCs w:val="24"/>
          <w:lang w:eastAsia="el-GR"/>
        </w:rPr>
        <w:t xml:space="preserve">γίνει χρήση του αντίστοιχου </w:t>
      </w:r>
      <w:r w:rsidR="008A5618">
        <w:rPr>
          <w:rFonts w:ascii="Calibri" w:eastAsia="Times New Roman" w:hAnsi="Calibri" w:cs="Courier New"/>
          <w:sz w:val="24"/>
          <w:szCs w:val="24"/>
          <w:lang w:eastAsia="el-GR"/>
        </w:rPr>
        <w:t xml:space="preserve">Άρθρου 1 </w:t>
      </w:r>
      <w:r w:rsidR="00F87BA3">
        <w:rPr>
          <w:rFonts w:ascii="Calibri" w:eastAsia="Times New Roman" w:hAnsi="Calibri" w:cs="Courier New"/>
          <w:sz w:val="24"/>
          <w:szCs w:val="24"/>
          <w:lang w:eastAsia="el-GR"/>
        </w:rPr>
        <w:t xml:space="preserve">που είναι γενικό, </w:t>
      </w:r>
      <w:r w:rsidR="00F86C61">
        <w:rPr>
          <w:rFonts w:ascii="Calibri" w:eastAsia="Times New Roman" w:hAnsi="Calibri" w:cs="Courier New"/>
          <w:sz w:val="24"/>
          <w:szCs w:val="24"/>
          <w:lang w:eastAsia="el-GR"/>
        </w:rPr>
        <w:t>ναι με</w:t>
      </w:r>
      <w:r w:rsidR="00F87BA3">
        <w:rPr>
          <w:rFonts w:ascii="Calibri" w:eastAsia="Times New Roman" w:hAnsi="Calibri" w:cs="Courier New"/>
          <w:sz w:val="24"/>
          <w:szCs w:val="24"/>
          <w:lang w:eastAsia="el-GR"/>
        </w:rPr>
        <w:t>ν</w:t>
      </w:r>
      <w:r w:rsid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η </w:t>
      </w:r>
      <w:r w:rsidR="008A5618" w:rsidRPr="00D22FE3">
        <w:rPr>
          <w:rFonts w:ascii="Calibri" w:eastAsia="Times New Roman" w:hAnsi="Calibri" w:cs="Courier New"/>
          <w:sz w:val="24"/>
          <w:szCs w:val="24"/>
          <w:lang w:eastAsia="el-GR"/>
        </w:rPr>
        <w:t xml:space="preserve">μέγιστη </w:t>
      </w:r>
      <w:r w:rsidR="00F87BA3">
        <w:rPr>
          <w:rFonts w:ascii="Calibri" w:eastAsia="Times New Roman" w:hAnsi="Calibri" w:cs="Courier New"/>
          <w:sz w:val="24"/>
          <w:szCs w:val="24"/>
          <w:lang w:eastAsia="el-GR"/>
        </w:rPr>
        <w:t xml:space="preserve">επιτρεπόμενη </w:t>
      </w:r>
      <w:r w:rsidR="008A5618" w:rsidRPr="00D22FE3">
        <w:rPr>
          <w:rFonts w:ascii="Calibri" w:eastAsia="Times New Roman" w:hAnsi="Calibri" w:cs="Courier New"/>
          <w:sz w:val="24"/>
          <w:szCs w:val="24"/>
          <w:lang w:eastAsia="el-GR"/>
        </w:rPr>
        <w:t xml:space="preserve">κάλυψη </w:t>
      </w:r>
      <w:r w:rsidR="00F87BA3">
        <w:rPr>
          <w:rFonts w:ascii="Calibri" w:eastAsia="Times New Roman" w:hAnsi="Calibri" w:cs="Courier New"/>
          <w:sz w:val="24"/>
          <w:szCs w:val="24"/>
          <w:lang w:eastAsia="el-GR"/>
        </w:rPr>
        <w:t>(</w:t>
      </w:r>
      <w:r w:rsidR="008A5618" w:rsidRPr="00D22FE3">
        <w:rPr>
          <w:rFonts w:ascii="Calibri" w:eastAsia="Times New Roman" w:hAnsi="Calibri" w:cs="Courier New"/>
          <w:sz w:val="24"/>
          <w:szCs w:val="24"/>
          <w:lang w:eastAsia="el-GR"/>
        </w:rPr>
        <w:t>10%</w:t>
      </w:r>
      <w:r w:rsidR="00F87BA3">
        <w:rPr>
          <w:rFonts w:ascii="Calibri" w:eastAsia="Times New Roman" w:hAnsi="Calibri" w:cs="Courier New"/>
          <w:sz w:val="24"/>
          <w:szCs w:val="24"/>
          <w:lang w:eastAsia="el-GR"/>
        </w:rPr>
        <w:t>)</w:t>
      </w:r>
      <w:r w:rsidR="008A5618" w:rsidRP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και ο </w:t>
      </w:r>
      <w:r w:rsidR="008A5618" w:rsidRPr="00D22FE3">
        <w:rPr>
          <w:rFonts w:ascii="Calibri" w:eastAsia="Times New Roman" w:hAnsi="Calibri" w:cs="Courier New"/>
          <w:sz w:val="24"/>
          <w:szCs w:val="24"/>
          <w:lang w:eastAsia="el-GR"/>
        </w:rPr>
        <w:t>μέγιστο</w:t>
      </w:r>
      <w:r w:rsidR="00F87BA3">
        <w:rPr>
          <w:rFonts w:ascii="Calibri" w:eastAsia="Times New Roman" w:hAnsi="Calibri" w:cs="Courier New"/>
          <w:sz w:val="24"/>
          <w:szCs w:val="24"/>
          <w:lang w:eastAsia="el-GR"/>
        </w:rPr>
        <w:t>ς</w:t>
      </w:r>
      <w:r w:rsidR="008A5618" w:rsidRPr="00D22FE3">
        <w:rPr>
          <w:rFonts w:ascii="Calibri" w:eastAsia="Times New Roman" w:hAnsi="Calibri" w:cs="Courier New"/>
          <w:sz w:val="24"/>
          <w:szCs w:val="24"/>
          <w:lang w:eastAsia="el-GR"/>
        </w:rPr>
        <w:t xml:space="preserve"> </w:t>
      </w:r>
      <w:r w:rsidR="003D13E5">
        <w:rPr>
          <w:rFonts w:ascii="Calibri" w:eastAsia="Times New Roman" w:hAnsi="Calibri" w:cs="Courier New"/>
          <w:sz w:val="24"/>
          <w:szCs w:val="24"/>
          <w:lang w:eastAsia="el-GR"/>
        </w:rPr>
        <w:t>συντελεστή δόμησης</w:t>
      </w:r>
      <w:r w:rsidR="008A5618" w:rsidRP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w:t>
      </w:r>
      <w:r w:rsidR="008A5618" w:rsidRPr="00D22FE3">
        <w:rPr>
          <w:rFonts w:ascii="Calibri" w:eastAsia="Times New Roman" w:hAnsi="Calibri" w:cs="Courier New"/>
          <w:sz w:val="24"/>
          <w:szCs w:val="24"/>
          <w:lang w:eastAsia="el-GR"/>
        </w:rPr>
        <w:t>0,2</w:t>
      </w:r>
      <w:r w:rsidR="00F87BA3">
        <w:rPr>
          <w:rFonts w:ascii="Calibri" w:eastAsia="Times New Roman" w:hAnsi="Calibri" w:cs="Courier New"/>
          <w:sz w:val="24"/>
          <w:szCs w:val="24"/>
          <w:lang w:eastAsia="el-GR"/>
        </w:rPr>
        <w:t>) μπορούν να θεωρηθούν επαρκείς,</w:t>
      </w:r>
      <w:r w:rsidR="00D22FE3" w:rsidRP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η προβλεπόμενη όμως, ως ελάχιστη, </w:t>
      </w:r>
      <w:r w:rsidR="00D22FE3" w:rsidRP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απόσταση </w:t>
      </w:r>
      <w:r w:rsidR="00D22FE3" w:rsidRPr="00D22FE3">
        <w:rPr>
          <w:rFonts w:ascii="Calibri" w:eastAsia="Times New Roman" w:hAnsi="Calibri" w:cs="Courier New"/>
          <w:sz w:val="24"/>
          <w:szCs w:val="24"/>
          <w:lang w:eastAsia="el-GR"/>
        </w:rPr>
        <w:t xml:space="preserve"> κτιρίων από τα όρια (15 μ), ενδεχομένως </w:t>
      </w:r>
      <w:r w:rsidR="00F87BA3">
        <w:rPr>
          <w:rFonts w:ascii="Calibri" w:eastAsia="Times New Roman" w:hAnsi="Calibri" w:cs="Courier New"/>
          <w:sz w:val="24"/>
          <w:szCs w:val="24"/>
          <w:lang w:eastAsia="el-GR"/>
        </w:rPr>
        <w:t xml:space="preserve">να </w:t>
      </w:r>
      <w:r w:rsidR="00D22FE3" w:rsidRPr="00D22FE3">
        <w:rPr>
          <w:rFonts w:ascii="Calibri" w:eastAsia="Times New Roman" w:hAnsi="Calibri" w:cs="Courier New"/>
          <w:sz w:val="24"/>
          <w:szCs w:val="24"/>
          <w:lang w:eastAsia="el-GR"/>
        </w:rPr>
        <w:t>είναι απαγορευτικ</w:t>
      </w:r>
      <w:r w:rsidR="00F87BA3">
        <w:rPr>
          <w:rFonts w:ascii="Calibri" w:eastAsia="Times New Roman" w:hAnsi="Calibri" w:cs="Courier New"/>
          <w:sz w:val="24"/>
          <w:szCs w:val="24"/>
          <w:lang w:eastAsia="el-GR"/>
        </w:rPr>
        <w:t>ή</w:t>
      </w:r>
      <w:r w:rsidR="00D22FE3" w:rsidRPr="00D22FE3">
        <w:rPr>
          <w:rFonts w:ascii="Calibri" w:eastAsia="Times New Roman" w:hAnsi="Calibri" w:cs="Courier New"/>
          <w:sz w:val="24"/>
          <w:szCs w:val="24"/>
          <w:lang w:eastAsia="el-GR"/>
        </w:rPr>
        <w:t xml:space="preserve"> για άρτια μεν αλλά μικρού ή μεσαίου μεγέ</w:t>
      </w:r>
      <w:r w:rsidR="00D22FE3">
        <w:rPr>
          <w:rFonts w:ascii="Calibri" w:eastAsia="Times New Roman" w:hAnsi="Calibri" w:cs="Courier New"/>
          <w:sz w:val="24"/>
          <w:szCs w:val="24"/>
          <w:lang w:eastAsia="el-GR"/>
        </w:rPr>
        <w:t xml:space="preserve">θους γήπεδα αμπελώνων, που δημιουργήθηκαν μετά την 15-4-81 </w:t>
      </w:r>
      <w:r w:rsidR="00F87BA3">
        <w:rPr>
          <w:rFonts w:ascii="Calibri" w:eastAsia="Times New Roman" w:hAnsi="Calibri" w:cs="Courier New"/>
          <w:sz w:val="24"/>
          <w:szCs w:val="24"/>
          <w:lang w:eastAsia="el-GR"/>
        </w:rPr>
        <w:t xml:space="preserve">και έχουν πλάτος μικρότερο των 40-50 μέτρων </w:t>
      </w:r>
      <w:r w:rsidR="00D22FE3">
        <w:rPr>
          <w:rFonts w:ascii="Calibri" w:eastAsia="Times New Roman" w:hAnsi="Calibri" w:cs="Courier New"/>
          <w:sz w:val="24"/>
          <w:szCs w:val="24"/>
          <w:lang w:eastAsia="el-GR"/>
        </w:rPr>
        <w:t>(</w:t>
      </w:r>
      <w:r w:rsidR="00F87BA3">
        <w:rPr>
          <w:rFonts w:ascii="Calibri" w:eastAsia="Times New Roman" w:hAnsi="Calibri" w:cs="Courier New"/>
          <w:sz w:val="24"/>
          <w:szCs w:val="24"/>
          <w:lang w:eastAsia="el-GR"/>
        </w:rPr>
        <w:t xml:space="preserve">η δυνατότητα περιορισμού της υποχρεωτικής απόστασης κτιρίου από τα όρια σε 7,5 μ αντί των 15 μ, περιορίζεται στα </w:t>
      </w:r>
      <w:r w:rsidR="00D22FE3">
        <w:rPr>
          <w:rFonts w:ascii="Calibri" w:eastAsia="Times New Roman" w:hAnsi="Calibri" w:cs="Courier New"/>
          <w:sz w:val="24"/>
          <w:szCs w:val="24"/>
          <w:lang w:eastAsia="el-GR"/>
        </w:rPr>
        <w:t xml:space="preserve">προϋφιστάμενα της </w:t>
      </w:r>
      <w:r w:rsidR="00D22FE3" w:rsidRPr="006823AA">
        <w:rPr>
          <w:rFonts w:ascii="Calibri" w:eastAsia="Times New Roman" w:hAnsi="Calibri" w:cs="Courier New"/>
          <w:sz w:val="24"/>
          <w:szCs w:val="24"/>
          <w:lang w:eastAsia="el-GR"/>
        </w:rPr>
        <w:t>15-4-81</w:t>
      </w:r>
      <w:r w:rsid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γήπεδα </w:t>
      </w:r>
      <w:r w:rsidR="00D22FE3">
        <w:rPr>
          <w:rFonts w:ascii="Calibri" w:eastAsia="Times New Roman" w:hAnsi="Calibri" w:cs="Courier New"/>
          <w:sz w:val="24"/>
          <w:szCs w:val="24"/>
          <w:lang w:eastAsia="el-GR"/>
        </w:rPr>
        <w:t xml:space="preserve">με </w:t>
      </w:r>
      <w:r w:rsidR="00D22FE3" w:rsidRPr="006823AA">
        <w:rPr>
          <w:rFonts w:ascii="Calibri" w:eastAsia="Times New Roman" w:hAnsi="Calibri" w:cs="Courier New"/>
          <w:sz w:val="24"/>
          <w:szCs w:val="24"/>
          <w:lang w:eastAsia="el-GR"/>
        </w:rPr>
        <w:t>ελάχιστο εμβαδόν</w:t>
      </w:r>
      <w:r w:rsidR="00D22FE3" w:rsidRPr="004D1CFF">
        <w:rPr>
          <w:rFonts w:ascii="Calibri" w:eastAsia="Times New Roman" w:hAnsi="Calibri" w:cs="Courier New"/>
          <w:sz w:val="24"/>
          <w:szCs w:val="24"/>
          <w:lang w:eastAsia="el-GR"/>
        </w:rPr>
        <w:t xml:space="preserve"> </w:t>
      </w:r>
      <w:r w:rsidR="00D22FE3" w:rsidRPr="006823AA">
        <w:rPr>
          <w:rFonts w:ascii="Calibri" w:eastAsia="Times New Roman" w:hAnsi="Calibri" w:cs="Courier New"/>
          <w:sz w:val="24"/>
          <w:szCs w:val="24"/>
          <w:lang w:eastAsia="el-GR"/>
        </w:rPr>
        <w:t>4000 μ2</w:t>
      </w:r>
      <w:r w:rsidR="00D22FE3">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και μόνο</w:t>
      </w:r>
      <w:r w:rsidR="00D22FE3">
        <w:rPr>
          <w:rFonts w:ascii="Calibri" w:eastAsia="Times New Roman" w:hAnsi="Calibri" w:cs="Courier New"/>
          <w:sz w:val="24"/>
          <w:szCs w:val="24"/>
          <w:lang w:eastAsia="el-GR"/>
        </w:rPr>
        <w:t xml:space="preserve"> για τις περιπτώσεις </w:t>
      </w:r>
      <w:r w:rsidR="007E233C">
        <w:rPr>
          <w:rFonts w:ascii="Calibri" w:eastAsia="Times New Roman" w:hAnsi="Calibri" w:cs="Courier New"/>
          <w:sz w:val="24"/>
          <w:szCs w:val="24"/>
          <w:lang w:eastAsia="el-GR"/>
        </w:rPr>
        <w:t xml:space="preserve">ανέγερσης </w:t>
      </w:r>
      <w:r w:rsidR="00D22FE3">
        <w:rPr>
          <w:rFonts w:ascii="Calibri" w:eastAsia="Times New Roman" w:hAnsi="Calibri" w:cs="Courier New"/>
          <w:sz w:val="24"/>
          <w:szCs w:val="24"/>
          <w:lang w:eastAsia="el-GR"/>
        </w:rPr>
        <w:t>κατοικίας</w:t>
      </w:r>
      <w:r w:rsidR="00F87BA3">
        <w:rPr>
          <w:rFonts w:ascii="Calibri" w:eastAsia="Times New Roman" w:hAnsi="Calibri" w:cs="Courier New"/>
          <w:sz w:val="24"/>
          <w:szCs w:val="24"/>
          <w:lang w:eastAsia="el-GR"/>
        </w:rPr>
        <w:t>,</w:t>
      </w:r>
      <w:r w:rsidR="00D22FE3">
        <w:rPr>
          <w:rFonts w:ascii="Calibri" w:eastAsia="Times New Roman" w:hAnsi="Calibri" w:cs="Courier New"/>
          <w:sz w:val="24"/>
          <w:szCs w:val="24"/>
          <w:lang w:eastAsia="el-GR"/>
        </w:rPr>
        <w:t xml:space="preserve"> </w:t>
      </w:r>
      <w:r w:rsidR="007E233C">
        <w:rPr>
          <w:rFonts w:ascii="Calibri" w:eastAsia="Times New Roman" w:hAnsi="Calibri" w:cs="Courier New"/>
          <w:sz w:val="24"/>
          <w:szCs w:val="24"/>
          <w:lang w:eastAsia="el-GR"/>
        </w:rPr>
        <w:t xml:space="preserve">υπό την προϋπόθεση ότι το κτίριο </w:t>
      </w:r>
      <w:r w:rsidR="00F87BA3">
        <w:rPr>
          <w:rFonts w:ascii="Calibri" w:eastAsia="Times New Roman" w:hAnsi="Calibri" w:cs="Courier New"/>
          <w:sz w:val="24"/>
          <w:szCs w:val="24"/>
          <w:lang w:eastAsia="el-GR"/>
        </w:rPr>
        <w:t>δεν θα υπερβαίνει σε πλάτος</w:t>
      </w:r>
      <w:r w:rsidR="007E233C">
        <w:rPr>
          <w:rFonts w:ascii="Calibri" w:eastAsia="Times New Roman" w:hAnsi="Calibri" w:cs="Courier New"/>
          <w:sz w:val="24"/>
          <w:szCs w:val="24"/>
          <w:lang w:eastAsia="el-GR"/>
        </w:rPr>
        <w:t xml:space="preserve"> </w:t>
      </w:r>
      <w:r w:rsidR="00F87BA3">
        <w:rPr>
          <w:rFonts w:ascii="Calibri" w:eastAsia="Times New Roman" w:hAnsi="Calibri" w:cs="Courier New"/>
          <w:sz w:val="24"/>
          <w:szCs w:val="24"/>
          <w:lang w:eastAsia="el-GR"/>
        </w:rPr>
        <w:t xml:space="preserve">τα </w:t>
      </w:r>
      <w:r w:rsidR="007E233C">
        <w:rPr>
          <w:rFonts w:ascii="Calibri" w:eastAsia="Times New Roman" w:hAnsi="Calibri" w:cs="Courier New"/>
          <w:sz w:val="24"/>
          <w:szCs w:val="24"/>
          <w:lang w:eastAsia="el-GR"/>
        </w:rPr>
        <w:t>10μ).</w:t>
      </w:r>
    </w:p>
    <w:p w:rsidR="00EA792F" w:rsidRDefault="00EA792F" w:rsidP="00426768">
      <w:pPr>
        <w:spacing w:after="0" w:line="28" w:lineRule="atLeast"/>
        <w:jc w:val="both"/>
        <w:rPr>
          <w:rFonts w:ascii="Calibri" w:eastAsia="Times New Roman" w:hAnsi="Calibri" w:cs="Courier New"/>
          <w:sz w:val="24"/>
          <w:szCs w:val="24"/>
          <w:lang w:eastAsia="el-GR"/>
        </w:rPr>
      </w:pPr>
    </w:p>
    <w:p w:rsidR="007E233C" w:rsidRDefault="00426768" w:rsidP="00426768">
      <w:pPr>
        <w:spacing w:after="0" w:line="28" w:lineRule="atLeast"/>
        <w:jc w:val="both"/>
        <w:rPr>
          <w:rFonts w:ascii="Calibri" w:eastAsia="Times New Roman" w:hAnsi="Calibri" w:cs="Courier New"/>
          <w:b/>
          <w:sz w:val="24"/>
          <w:szCs w:val="24"/>
          <w:lang w:eastAsia="el-GR"/>
        </w:rPr>
      </w:pPr>
      <w:r>
        <w:rPr>
          <w:rFonts w:ascii="Calibri" w:eastAsia="Times New Roman" w:hAnsi="Calibri" w:cs="Courier New"/>
          <w:b/>
          <w:sz w:val="24"/>
          <w:szCs w:val="24"/>
          <w:lang w:eastAsia="el-GR"/>
        </w:rPr>
        <w:t>Β</w:t>
      </w:r>
      <w:r w:rsidR="007E233C" w:rsidRPr="00811EFC">
        <w:rPr>
          <w:rFonts w:ascii="Calibri" w:eastAsia="Times New Roman" w:hAnsi="Calibri" w:cs="Courier New"/>
          <w:b/>
          <w:sz w:val="24"/>
          <w:szCs w:val="24"/>
          <w:lang w:eastAsia="el-GR"/>
        </w:rPr>
        <w:t xml:space="preserve">) Ίδρυση μη κύριων καταλυμάτων και χώρων εστίασης σε </w:t>
      </w:r>
      <w:r w:rsidR="007E233C">
        <w:rPr>
          <w:rFonts w:ascii="Calibri" w:eastAsia="Times New Roman" w:hAnsi="Calibri" w:cs="Courier New"/>
          <w:b/>
          <w:sz w:val="24"/>
          <w:szCs w:val="24"/>
          <w:lang w:eastAsia="el-GR"/>
        </w:rPr>
        <w:t>γήπεδα με εγκαταστάσεις οινοποιείων</w:t>
      </w:r>
      <w:r w:rsidR="007E233C" w:rsidRPr="00811EFC">
        <w:rPr>
          <w:rFonts w:ascii="Calibri" w:eastAsia="Times New Roman" w:hAnsi="Calibri" w:cs="Courier New"/>
          <w:b/>
          <w:sz w:val="24"/>
          <w:szCs w:val="24"/>
          <w:lang w:eastAsia="el-GR"/>
        </w:rPr>
        <w:t xml:space="preserve">. </w:t>
      </w:r>
    </w:p>
    <w:p w:rsidR="007E233C"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7E233C" w:rsidRPr="007E233C">
        <w:rPr>
          <w:rFonts w:ascii="Calibri" w:eastAsia="Times New Roman" w:hAnsi="Calibri" w:cs="Courier New"/>
          <w:sz w:val="24"/>
          <w:szCs w:val="24"/>
          <w:lang w:eastAsia="el-GR"/>
        </w:rPr>
        <w:t xml:space="preserve">Η περίπτωση αυτή είναι πιο σύνθετη </w:t>
      </w:r>
      <w:r w:rsidR="007E233C">
        <w:rPr>
          <w:rFonts w:ascii="Calibri" w:eastAsia="Times New Roman" w:hAnsi="Calibri" w:cs="Courier New"/>
          <w:sz w:val="24"/>
          <w:szCs w:val="24"/>
          <w:lang w:eastAsia="el-GR"/>
        </w:rPr>
        <w:t xml:space="preserve">και ο περιορισμός ίδρυσης ΕΕΔΔ με όρους δόμησης κατοικίας, όπως αυτοί περιγράφηκαν πιο πάνω, μπορεί να οδηγήσει σε καθολική αδυναμία δημιουργίας τέτοιων </w:t>
      </w:r>
      <w:proofErr w:type="spellStart"/>
      <w:r w:rsidR="007E233C">
        <w:rPr>
          <w:rFonts w:ascii="Calibri" w:eastAsia="Times New Roman" w:hAnsi="Calibri" w:cs="Courier New"/>
          <w:sz w:val="24"/>
          <w:szCs w:val="24"/>
          <w:lang w:eastAsia="el-GR"/>
        </w:rPr>
        <w:t>οινοτουριστικών</w:t>
      </w:r>
      <w:proofErr w:type="spellEnd"/>
      <w:r w:rsidR="007E233C">
        <w:rPr>
          <w:rFonts w:ascii="Calibri" w:eastAsia="Times New Roman" w:hAnsi="Calibri" w:cs="Courier New"/>
          <w:sz w:val="24"/>
          <w:szCs w:val="24"/>
          <w:lang w:eastAsia="el-GR"/>
        </w:rPr>
        <w:t xml:space="preserve"> εγκαταστάσεων στο </w:t>
      </w:r>
      <w:proofErr w:type="spellStart"/>
      <w:r w:rsidR="00C36C14">
        <w:rPr>
          <w:rFonts w:ascii="Calibri" w:eastAsia="Times New Roman" w:hAnsi="Calibri" w:cs="Courier New"/>
          <w:sz w:val="24"/>
          <w:szCs w:val="24"/>
          <w:lang w:eastAsia="el-GR"/>
        </w:rPr>
        <w:t>γηπεδικό</w:t>
      </w:r>
      <w:proofErr w:type="spellEnd"/>
      <w:r w:rsidR="00C36C14">
        <w:rPr>
          <w:rFonts w:ascii="Calibri" w:eastAsia="Times New Roman" w:hAnsi="Calibri" w:cs="Courier New"/>
          <w:sz w:val="24"/>
          <w:szCs w:val="24"/>
          <w:lang w:eastAsia="el-GR"/>
        </w:rPr>
        <w:t xml:space="preserve"> </w:t>
      </w:r>
      <w:r w:rsidR="007E233C">
        <w:rPr>
          <w:rFonts w:ascii="Calibri" w:eastAsia="Times New Roman" w:hAnsi="Calibri" w:cs="Courier New"/>
          <w:sz w:val="24"/>
          <w:szCs w:val="24"/>
          <w:lang w:eastAsia="el-GR"/>
        </w:rPr>
        <w:t>περιβάλλον των περισσότερων από τα υπάρχοντα οινοποιεία.</w:t>
      </w:r>
    </w:p>
    <w:p w:rsidR="007E233C"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7E233C">
        <w:rPr>
          <w:rFonts w:ascii="Calibri" w:eastAsia="Times New Roman" w:hAnsi="Calibri" w:cs="Courier New"/>
          <w:sz w:val="24"/>
          <w:szCs w:val="24"/>
          <w:lang w:eastAsia="el-GR"/>
        </w:rPr>
        <w:t xml:space="preserve">Τα εκτός σχεδίου οινοποιεία, ως βιομηχανικές εγκαταστάσεις, έχουν όρους δόμησης, που καθορίζονται από το άρθρο 4 του </w:t>
      </w:r>
      <w:r w:rsidR="007E233C" w:rsidRPr="00277605">
        <w:rPr>
          <w:rFonts w:ascii="Calibri" w:eastAsia="Times New Roman" w:hAnsi="Calibri" w:cs="Courier New"/>
          <w:sz w:val="24"/>
          <w:szCs w:val="24"/>
          <w:lang w:eastAsia="el-GR"/>
        </w:rPr>
        <w:t>ΠΔ/24-5-85</w:t>
      </w:r>
      <w:r w:rsidR="007E233C">
        <w:rPr>
          <w:rFonts w:ascii="Calibri" w:eastAsia="Times New Roman" w:hAnsi="Calibri" w:cs="Courier New"/>
          <w:sz w:val="24"/>
          <w:szCs w:val="24"/>
          <w:lang w:eastAsia="el-GR"/>
        </w:rPr>
        <w:t>, ως εξής:</w:t>
      </w:r>
    </w:p>
    <w:p w:rsidR="007E233C" w:rsidRPr="00C36C14" w:rsidRDefault="007E233C" w:rsidP="00426768">
      <w:pPr>
        <w:pStyle w:val="a3"/>
        <w:numPr>
          <w:ilvl w:val="0"/>
          <w:numId w:val="3"/>
        </w:numPr>
        <w:spacing w:after="0" w:line="28" w:lineRule="atLeast"/>
        <w:jc w:val="both"/>
        <w:rPr>
          <w:rFonts w:ascii="Calibri" w:eastAsia="Times New Roman" w:hAnsi="Calibri" w:cs="Courier New"/>
          <w:sz w:val="24"/>
          <w:szCs w:val="24"/>
          <w:lang w:eastAsia="el-GR"/>
        </w:rPr>
      </w:pPr>
      <w:r w:rsidRPr="00C36C14">
        <w:rPr>
          <w:rFonts w:ascii="Calibri" w:eastAsia="Times New Roman" w:hAnsi="Calibri" w:cs="Courier New"/>
          <w:sz w:val="24"/>
          <w:szCs w:val="24"/>
          <w:lang w:eastAsia="el-GR"/>
        </w:rPr>
        <w:t>α) Μέγιστο ποσοστό καλύψεως του γηπέδου τριάντα τοις εκατό (30%) της επιφανείας του.</w:t>
      </w:r>
    </w:p>
    <w:p w:rsidR="00C36C14" w:rsidRPr="00C36C14" w:rsidRDefault="007E233C" w:rsidP="00426768">
      <w:pPr>
        <w:pStyle w:val="a3"/>
        <w:numPr>
          <w:ilvl w:val="0"/>
          <w:numId w:val="3"/>
        </w:numPr>
        <w:spacing w:after="0" w:line="28" w:lineRule="atLeast"/>
        <w:jc w:val="both"/>
        <w:rPr>
          <w:rFonts w:ascii="Calibri" w:eastAsia="Times New Roman" w:hAnsi="Calibri" w:cs="Courier New"/>
          <w:sz w:val="24"/>
          <w:szCs w:val="24"/>
          <w:lang w:eastAsia="el-GR"/>
        </w:rPr>
      </w:pPr>
      <w:r w:rsidRPr="00C36C14">
        <w:rPr>
          <w:rFonts w:ascii="Calibri" w:eastAsia="Times New Roman" w:hAnsi="Calibri" w:cs="Courier New"/>
          <w:sz w:val="24"/>
          <w:szCs w:val="24"/>
          <w:lang w:eastAsia="el-GR"/>
        </w:rPr>
        <w:t>β)</w:t>
      </w:r>
      <w:r w:rsidR="00C36C14" w:rsidRPr="00C36C14">
        <w:rPr>
          <w:rFonts w:ascii="Calibri" w:eastAsia="Times New Roman" w:hAnsi="Calibri" w:cs="Courier New"/>
          <w:sz w:val="24"/>
          <w:szCs w:val="24"/>
          <w:lang w:eastAsia="el-GR"/>
        </w:rPr>
        <w:t xml:space="preserve"> Ο συντελεστής δόμησης του γηπέδου ορίζεται σε 0,9 και ο συντελεστής της κατ' </w:t>
      </w:r>
      <w:proofErr w:type="spellStart"/>
      <w:r w:rsidR="00C36C14" w:rsidRPr="00C36C14">
        <w:rPr>
          <w:rFonts w:ascii="Calibri" w:eastAsia="Times New Roman" w:hAnsi="Calibri" w:cs="Courier New"/>
          <w:sz w:val="24"/>
          <w:szCs w:val="24"/>
          <w:lang w:eastAsia="el-GR"/>
        </w:rPr>
        <w:t>όγκον</w:t>
      </w:r>
      <w:proofErr w:type="spellEnd"/>
      <w:r w:rsidR="00C36C14" w:rsidRPr="00C36C14">
        <w:rPr>
          <w:rFonts w:ascii="Calibri" w:eastAsia="Times New Roman" w:hAnsi="Calibri" w:cs="Courier New"/>
          <w:sz w:val="24"/>
          <w:szCs w:val="24"/>
          <w:lang w:eastAsia="el-GR"/>
        </w:rPr>
        <w:t xml:space="preserve"> εκμετάλλευσης σε 3,3.</w:t>
      </w:r>
    </w:p>
    <w:p w:rsidR="007E233C" w:rsidRDefault="00C36C14" w:rsidP="00426768">
      <w:pPr>
        <w:pStyle w:val="a3"/>
        <w:numPr>
          <w:ilvl w:val="0"/>
          <w:numId w:val="3"/>
        </w:numPr>
        <w:spacing w:after="0" w:line="28" w:lineRule="atLeast"/>
        <w:jc w:val="both"/>
        <w:rPr>
          <w:rFonts w:ascii="Calibri" w:eastAsia="Times New Roman" w:hAnsi="Calibri" w:cs="Courier New"/>
          <w:sz w:val="24"/>
          <w:szCs w:val="24"/>
          <w:lang w:eastAsia="el-GR"/>
        </w:rPr>
      </w:pPr>
      <w:r w:rsidRPr="00C36C14">
        <w:rPr>
          <w:rFonts w:ascii="Calibri" w:eastAsia="Times New Roman" w:hAnsi="Calibri" w:cs="Courier New"/>
          <w:sz w:val="24"/>
          <w:szCs w:val="24"/>
          <w:lang w:eastAsia="el-GR"/>
        </w:rPr>
        <w:t>γ) Ελάχιστη απόσταση από τα όρια 10μ, και κατά παρέκκλιση, η απόσταση αυτή για γήπεδα εντός ζώνης πόλεων ή οικισμών ή η απόσταση από τα πλάγια όρια για γήπεδα κατά κανόνα άρτια που προϋφίστανται της 31-5-85 με κτίριο που δεν υπερβαίνει σε πλάτος τα 10μ, μπορούν να μειωθούν μέχρι τα 5 μ.</w:t>
      </w:r>
    </w:p>
    <w:p w:rsidR="00C36C14" w:rsidRPr="00C36C14" w:rsidRDefault="00C36C14" w:rsidP="00426768">
      <w:pPr>
        <w:spacing w:after="0" w:line="28" w:lineRule="atLeast"/>
        <w:jc w:val="both"/>
        <w:rPr>
          <w:rFonts w:ascii="Calibri" w:eastAsia="Times New Roman" w:hAnsi="Calibri" w:cs="Courier New"/>
          <w:sz w:val="24"/>
          <w:szCs w:val="24"/>
          <w:lang w:eastAsia="el-GR"/>
        </w:rPr>
      </w:pPr>
    </w:p>
    <w:p w:rsidR="007E233C" w:rsidRDefault="00426768"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C36C14">
        <w:rPr>
          <w:rFonts w:ascii="Calibri" w:eastAsia="Times New Roman" w:hAnsi="Calibri" w:cs="Courier New"/>
          <w:sz w:val="24"/>
          <w:szCs w:val="24"/>
          <w:lang w:eastAsia="el-GR"/>
        </w:rPr>
        <w:t>Εάν λοιπόν σ</w:t>
      </w:r>
      <w:r w:rsidR="00C042D3">
        <w:rPr>
          <w:rFonts w:ascii="Calibri" w:eastAsia="Times New Roman" w:hAnsi="Calibri" w:cs="Courier New"/>
          <w:sz w:val="24"/>
          <w:szCs w:val="24"/>
          <w:lang w:eastAsia="el-GR"/>
        </w:rPr>
        <w:t>ε τέτοια</w:t>
      </w:r>
      <w:r w:rsidR="00C36C14">
        <w:rPr>
          <w:rFonts w:ascii="Calibri" w:eastAsia="Times New Roman" w:hAnsi="Calibri" w:cs="Courier New"/>
          <w:sz w:val="24"/>
          <w:szCs w:val="24"/>
          <w:lang w:eastAsia="el-GR"/>
        </w:rPr>
        <w:t xml:space="preserve"> γήπεδα α </w:t>
      </w:r>
      <w:r w:rsidR="007068E0">
        <w:rPr>
          <w:rFonts w:ascii="Calibri" w:eastAsia="Times New Roman" w:hAnsi="Calibri" w:cs="Courier New"/>
          <w:sz w:val="24"/>
          <w:szCs w:val="24"/>
          <w:lang w:eastAsia="el-GR"/>
        </w:rPr>
        <w:t xml:space="preserve">πρόκειται να </w:t>
      </w:r>
      <w:r w:rsidR="00C36C14">
        <w:rPr>
          <w:rFonts w:ascii="Calibri" w:eastAsia="Times New Roman" w:hAnsi="Calibri" w:cs="Courier New"/>
          <w:sz w:val="24"/>
          <w:szCs w:val="24"/>
          <w:lang w:eastAsia="el-GR"/>
        </w:rPr>
        <w:t>προστεθούν μη κύρια καταλύματα</w:t>
      </w:r>
      <w:r w:rsidR="007068E0">
        <w:rPr>
          <w:rFonts w:ascii="Calibri" w:eastAsia="Times New Roman" w:hAnsi="Calibri" w:cs="Courier New"/>
          <w:sz w:val="24"/>
          <w:szCs w:val="24"/>
          <w:lang w:eastAsia="el-GR"/>
        </w:rPr>
        <w:t xml:space="preserve"> (με η χωρίς χώρο εστίασης) που δομούνται με όρους δόμησης κατοικίας, υπάρχουν προς εξέταση δύο δυνατότητες:</w:t>
      </w:r>
    </w:p>
    <w:p w:rsidR="00C229E3" w:rsidRDefault="00C229E3" w:rsidP="00426768">
      <w:pPr>
        <w:spacing w:after="0" w:line="28" w:lineRule="atLeast"/>
        <w:jc w:val="both"/>
        <w:rPr>
          <w:rFonts w:ascii="Calibri" w:eastAsia="Times New Roman" w:hAnsi="Calibri" w:cs="Courier New"/>
          <w:sz w:val="24"/>
          <w:szCs w:val="24"/>
          <w:lang w:eastAsia="el-GR"/>
        </w:rPr>
      </w:pPr>
    </w:p>
    <w:p w:rsidR="00C229E3" w:rsidRPr="007E233C" w:rsidRDefault="00C229E3" w:rsidP="00426768">
      <w:pPr>
        <w:spacing w:after="0" w:line="28" w:lineRule="atLeast"/>
        <w:jc w:val="both"/>
        <w:rPr>
          <w:rFonts w:ascii="Calibri" w:eastAsia="Times New Roman" w:hAnsi="Calibri" w:cs="Courier New"/>
          <w:sz w:val="24"/>
          <w:szCs w:val="24"/>
          <w:lang w:eastAsia="el-GR"/>
        </w:rPr>
      </w:pPr>
    </w:p>
    <w:p w:rsidR="00DD6CF7" w:rsidRPr="00C229E3" w:rsidRDefault="007068E0" w:rsidP="00426768">
      <w:pPr>
        <w:spacing w:after="0" w:line="28" w:lineRule="atLeast"/>
        <w:jc w:val="both"/>
        <w:rPr>
          <w:rFonts w:ascii="Calibri" w:eastAsia="Times New Roman" w:hAnsi="Calibri" w:cs="Courier New"/>
          <w:sz w:val="24"/>
          <w:szCs w:val="24"/>
          <w:u w:val="single"/>
          <w:lang w:eastAsia="el-GR"/>
        </w:rPr>
      </w:pPr>
      <w:r w:rsidRPr="00C229E3">
        <w:rPr>
          <w:rFonts w:ascii="Calibri" w:eastAsia="Times New Roman" w:hAnsi="Calibri" w:cs="Courier New"/>
          <w:sz w:val="24"/>
          <w:szCs w:val="24"/>
          <w:u w:val="single"/>
          <w:lang w:eastAsia="el-GR"/>
        </w:rPr>
        <w:lastRenderedPageBreak/>
        <w:t xml:space="preserve">1) </w:t>
      </w:r>
      <w:r w:rsidR="00C229E3">
        <w:rPr>
          <w:rFonts w:ascii="Calibri" w:eastAsia="Times New Roman" w:hAnsi="Calibri" w:cs="Courier New"/>
          <w:sz w:val="24"/>
          <w:szCs w:val="24"/>
          <w:u w:val="single"/>
          <w:lang w:eastAsia="el-GR"/>
        </w:rPr>
        <w:t>Εφαρμογή</w:t>
      </w:r>
      <w:r w:rsidRPr="00C229E3">
        <w:rPr>
          <w:rFonts w:ascii="Calibri" w:eastAsia="Times New Roman" w:hAnsi="Calibri" w:cs="Courier New"/>
          <w:sz w:val="24"/>
          <w:szCs w:val="24"/>
          <w:u w:val="single"/>
          <w:lang w:eastAsia="el-GR"/>
        </w:rPr>
        <w:t xml:space="preserve"> του Άρθρου </w:t>
      </w:r>
      <w:r w:rsidR="003D13E5" w:rsidRPr="00C229E3">
        <w:rPr>
          <w:rFonts w:ascii="Calibri" w:eastAsia="Times New Roman" w:hAnsi="Calibri" w:cs="Courier New"/>
          <w:sz w:val="24"/>
          <w:szCs w:val="24"/>
          <w:u w:val="single"/>
          <w:lang w:eastAsia="el-GR"/>
        </w:rPr>
        <w:t xml:space="preserve">6 </w:t>
      </w:r>
      <w:r w:rsidRPr="00C229E3">
        <w:rPr>
          <w:rFonts w:ascii="Calibri" w:eastAsia="Times New Roman" w:hAnsi="Calibri" w:cs="Courier New"/>
          <w:sz w:val="24"/>
          <w:szCs w:val="24"/>
          <w:u w:val="single"/>
          <w:lang w:eastAsia="el-GR"/>
        </w:rPr>
        <w:t>(ΚΑΤΟΙΚΙΑ) του ΠΔ/24-5-85.</w:t>
      </w:r>
    </w:p>
    <w:p w:rsidR="007068E0" w:rsidRPr="007068E0" w:rsidRDefault="00C229E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7068E0">
        <w:rPr>
          <w:rFonts w:ascii="Calibri" w:eastAsia="Times New Roman" w:hAnsi="Calibri" w:cs="Courier New"/>
          <w:sz w:val="24"/>
          <w:szCs w:val="24"/>
          <w:lang w:eastAsia="el-GR"/>
        </w:rPr>
        <w:t>Η περίπτωση αυτή προσκρούει στην πρόβλεψη του Άρθρου 6 ότι «</w:t>
      </w:r>
      <w:r w:rsidR="007068E0" w:rsidRPr="004D1CFF">
        <w:rPr>
          <w:rFonts w:ascii="Calibri" w:eastAsia="Times New Roman" w:hAnsi="Calibri" w:cs="Courier New"/>
          <w:sz w:val="24"/>
          <w:szCs w:val="24"/>
          <w:lang w:eastAsia="el-GR"/>
        </w:rPr>
        <w:t xml:space="preserve">Σε περίπτωση ανέγερσης </w:t>
      </w:r>
      <w:r w:rsidR="007068E0" w:rsidRPr="00676CED">
        <w:rPr>
          <w:rFonts w:ascii="Calibri" w:eastAsia="Times New Roman" w:hAnsi="Calibri" w:cs="Courier New"/>
          <w:sz w:val="24"/>
          <w:szCs w:val="24"/>
          <w:lang w:eastAsia="el-GR"/>
        </w:rPr>
        <w:t>οικοδομών μικτής χρήσης</w:t>
      </w:r>
      <w:r w:rsidR="007068E0">
        <w:rPr>
          <w:rFonts w:ascii="Calibri" w:eastAsia="Times New Roman" w:hAnsi="Calibri" w:cs="Courier New"/>
          <w:sz w:val="24"/>
          <w:szCs w:val="24"/>
          <w:lang w:eastAsia="el-GR"/>
        </w:rPr>
        <w:t xml:space="preserve">» (και ως παράδειγμα αναφέρεται στο </w:t>
      </w:r>
      <w:r w:rsidR="007068E0" w:rsidRPr="007068E0">
        <w:rPr>
          <w:rFonts w:ascii="Calibri" w:eastAsia="Times New Roman" w:hAnsi="Calibri" w:cs="Courier New"/>
          <w:sz w:val="24"/>
          <w:szCs w:val="24"/>
          <w:lang w:eastAsia="el-GR"/>
        </w:rPr>
        <w:t>ΠΔ/24-5-85</w:t>
      </w:r>
      <w:r w:rsidR="007068E0" w:rsidRPr="00D83F47">
        <w:rPr>
          <w:rFonts w:ascii="Calibri" w:eastAsia="Times New Roman" w:hAnsi="Calibri" w:cs="Courier New"/>
          <w:b/>
          <w:sz w:val="24"/>
          <w:szCs w:val="24"/>
          <w:lang w:eastAsia="el-GR"/>
        </w:rPr>
        <w:t xml:space="preserve"> </w:t>
      </w:r>
      <w:r w:rsidR="007068E0">
        <w:rPr>
          <w:rFonts w:ascii="Calibri" w:eastAsia="Times New Roman" w:hAnsi="Calibri" w:cs="Courier New"/>
          <w:sz w:val="24"/>
          <w:szCs w:val="24"/>
          <w:lang w:eastAsia="el-GR"/>
        </w:rPr>
        <w:t xml:space="preserve"> η συνύπαρξη κατοικίας και καταστήματος, αφού τότε δεν προβλεπόταν η συνύπαρξη κατοικίας και οινοποιείου δηλ. βιομηχανικής εγκατάστασης), </w:t>
      </w:r>
      <w:r w:rsidR="007068E0" w:rsidRPr="004D1CFF">
        <w:rPr>
          <w:rFonts w:ascii="Calibri" w:eastAsia="Times New Roman" w:hAnsi="Calibri" w:cs="Courier New"/>
          <w:sz w:val="24"/>
          <w:szCs w:val="24"/>
          <w:lang w:eastAsia="el-GR"/>
        </w:rPr>
        <w:t>η μεγίστη επιτρεπόμενη κάλυψη του γηπέδου δεν δύναται να υπερβεί την οριζόμενη κατά περίπτωση από το άρθρο</w:t>
      </w:r>
      <w:r w:rsidR="007068E0">
        <w:rPr>
          <w:rFonts w:ascii="Calibri" w:eastAsia="Times New Roman" w:hAnsi="Calibri" w:cs="Courier New"/>
          <w:sz w:val="24"/>
          <w:szCs w:val="24"/>
          <w:lang w:eastAsia="el-GR"/>
        </w:rPr>
        <w:t xml:space="preserve"> 6, δηλαδή τα 200 – 400</w:t>
      </w:r>
      <w:r w:rsidR="003D13E5">
        <w:rPr>
          <w:rFonts w:ascii="Calibri" w:eastAsia="Times New Roman" w:hAnsi="Calibri" w:cs="Courier New"/>
          <w:sz w:val="24"/>
          <w:szCs w:val="24"/>
          <w:lang w:eastAsia="el-GR"/>
        </w:rPr>
        <w:t xml:space="preserve"> </w:t>
      </w:r>
      <w:r w:rsidR="007068E0">
        <w:rPr>
          <w:rFonts w:ascii="Calibri" w:eastAsia="Times New Roman" w:hAnsi="Calibri" w:cs="Courier New"/>
          <w:sz w:val="24"/>
          <w:szCs w:val="24"/>
          <w:lang w:eastAsia="el-GR"/>
        </w:rPr>
        <w:t>μ2, όπως αναφέρθηκε  παραπάνω.</w:t>
      </w:r>
    </w:p>
    <w:p w:rsidR="00DD6CF7" w:rsidRPr="007068E0" w:rsidRDefault="00C229E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7068E0" w:rsidRPr="007068E0">
        <w:rPr>
          <w:rFonts w:ascii="Calibri" w:eastAsia="Times New Roman" w:hAnsi="Calibri" w:cs="Courier New"/>
          <w:sz w:val="24"/>
          <w:szCs w:val="24"/>
          <w:lang w:eastAsia="el-GR"/>
        </w:rPr>
        <w:t xml:space="preserve">Επομένως σε </w:t>
      </w:r>
      <w:r w:rsidR="007068E0">
        <w:rPr>
          <w:rFonts w:ascii="Calibri" w:eastAsia="Times New Roman" w:hAnsi="Calibri" w:cs="Courier New"/>
          <w:sz w:val="24"/>
          <w:szCs w:val="24"/>
          <w:lang w:eastAsia="el-GR"/>
        </w:rPr>
        <w:t>γήπεδο με υπάρχον οινοποιείο</w:t>
      </w:r>
      <w:r w:rsidR="003D13E5">
        <w:rPr>
          <w:rFonts w:ascii="Calibri" w:eastAsia="Times New Roman" w:hAnsi="Calibri" w:cs="Courier New"/>
          <w:sz w:val="24"/>
          <w:szCs w:val="24"/>
          <w:lang w:eastAsia="el-GR"/>
        </w:rPr>
        <w:t xml:space="preserve"> εμβαδού 200 – 400 μ2, ανεξάρτητα από το μέγεθος του εμβαδού του γηπέδου του, δεν είναι δυνατή η ίδρυση οιασδήποτε </w:t>
      </w:r>
      <w:proofErr w:type="spellStart"/>
      <w:r w:rsidR="003D13E5">
        <w:rPr>
          <w:rFonts w:ascii="Calibri" w:eastAsia="Times New Roman" w:hAnsi="Calibri" w:cs="Courier New"/>
          <w:sz w:val="24"/>
          <w:szCs w:val="24"/>
          <w:lang w:eastAsia="el-GR"/>
        </w:rPr>
        <w:t>οινοτουριστικής</w:t>
      </w:r>
      <w:proofErr w:type="spellEnd"/>
      <w:r w:rsidR="003D13E5">
        <w:rPr>
          <w:rFonts w:ascii="Calibri" w:eastAsia="Times New Roman" w:hAnsi="Calibri" w:cs="Courier New"/>
          <w:sz w:val="24"/>
          <w:szCs w:val="24"/>
          <w:lang w:eastAsia="el-GR"/>
        </w:rPr>
        <w:t xml:space="preserve"> εγκατάστασης.</w:t>
      </w:r>
    </w:p>
    <w:p w:rsidR="003D13E5" w:rsidRDefault="00C229E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u w:val="single"/>
          <w:lang w:eastAsia="el-GR"/>
        </w:rPr>
        <w:t>2</w:t>
      </w:r>
      <w:r w:rsidRPr="00C229E3">
        <w:rPr>
          <w:rFonts w:ascii="Calibri" w:eastAsia="Times New Roman" w:hAnsi="Calibri" w:cs="Courier New"/>
          <w:sz w:val="24"/>
          <w:szCs w:val="24"/>
          <w:u w:val="single"/>
          <w:lang w:eastAsia="el-GR"/>
        </w:rPr>
        <w:t xml:space="preserve">) Εφαρμογή </w:t>
      </w:r>
      <w:r w:rsidR="003D13E5" w:rsidRPr="00C229E3">
        <w:rPr>
          <w:rFonts w:ascii="Calibri" w:eastAsia="Times New Roman" w:hAnsi="Calibri" w:cs="Courier New"/>
          <w:sz w:val="24"/>
          <w:szCs w:val="24"/>
          <w:u w:val="single"/>
          <w:lang w:eastAsia="el-GR"/>
        </w:rPr>
        <w:t>του Άρθρου 1 του ΠΔ/24-5-85.</w:t>
      </w:r>
    </w:p>
    <w:p w:rsidR="00DD6CF7" w:rsidRDefault="00C229E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3D13E5" w:rsidRPr="003D13E5">
        <w:rPr>
          <w:rFonts w:ascii="Calibri" w:eastAsia="Times New Roman" w:hAnsi="Calibri" w:cs="Courier New"/>
          <w:sz w:val="24"/>
          <w:szCs w:val="24"/>
          <w:lang w:eastAsia="el-GR"/>
        </w:rPr>
        <w:t xml:space="preserve">Το Άρθρο </w:t>
      </w:r>
      <w:r w:rsidR="003D13E5">
        <w:rPr>
          <w:rFonts w:ascii="Calibri" w:eastAsia="Times New Roman" w:hAnsi="Calibri" w:cs="Courier New"/>
          <w:sz w:val="24"/>
          <w:szCs w:val="24"/>
          <w:lang w:eastAsia="el-GR"/>
        </w:rPr>
        <w:t xml:space="preserve">1 προβλέπει μέγιστη κάλυψη 10% και συντελεστή δόμησης 0,2, που για ένα άρτιο γήπεδο 4000 μ2 </w:t>
      </w:r>
      <w:r w:rsidR="00C042D3">
        <w:rPr>
          <w:rFonts w:ascii="Calibri" w:eastAsia="Times New Roman" w:hAnsi="Calibri" w:cs="Courier New"/>
          <w:sz w:val="24"/>
          <w:szCs w:val="24"/>
          <w:lang w:eastAsia="el-GR"/>
        </w:rPr>
        <w:t>είναι</w:t>
      </w:r>
      <w:r w:rsidR="003D13E5">
        <w:rPr>
          <w:rFonts w:ascii="Calibri" w:eastAsia="Times New Roman" w:hAnsi="Calibri" w:cs="Courier New"/>
          <w:sz w:val="24"/>
          <w:szCs w:val="24"/>
          <w:lang w:eastAsia="el-GR"/>
        </w:rPr>
        <w:t xml:space="preserve"> 400 μ2 και 800 μ2 αντίστοιχα. Εάν όμως το οινοποιείο, κάνοντας χρήση της μέγιστης κάλυψης </w:t>
      </w:r>
      <w:r w:rsidR="001A6A37">
        <w:rPr>
          <w:rFonts w:ascii="Calibri" w:eastAsia="Times New Roman" w:hAnsi="Calibri" w:cs="Courier New"/>
          <w:sz w:val="24"/>
          <w:szCs w:val="24"/>
          <w:lang w:eastAsia="el-GR"/>
        </w:rPr>
        <w:t xml:space="preserve">30% </w:t>
      </w:r>
      <w:r w:rsidR="003D13E5">
        <w:rPr>
          <w:rFonts w:ascii="Calibri" w:eastAsia="Times New Roman" w:hAnsi="Calibri" w:cs="Courier New"/>
          <w:sz w:val="24"/>
          <w:szCs w:val="24"/>
          <w:lang w:eastAsia="el-GR"/>
        </w:rPr>
        <w:t xml:space="preserve">που του επιτρέπει </w:t>
      </w:r>
      <w:r w:rsidR="001A6A37">
        <w:rPr>
          <w:rFonts w:ascii="Calibri" w:eastAsia="Times New Roman" w:hAnsi="Calibri" w:cs="Courier New"/>
          <w:sz w:val="24"/>
          <w:szCs w:val="24"/>
          <w:lang w:eastAsia="el-GR"/>
        </w:rPr>
        <w:t xml:space="preserve">το Άρθρο 4 (βιομηχανικές εγκαταστάσεις), χωρίς μάλιστα να την έχει εξαντλήσει, έχει περιοριστεί ακόμα και στο 10% (κάτι πολύ σύνηθες για τα περισσότερα οινοποιεία), δεν </w:t>
      </w:r>
      <w:r w:rsidR="00C042D3">
        <w:rPr>
          <w:rFonts w:ascii="Calibri" w:eastAsia="Times New Roman" w:hAnsi="Calibri" w:cs="Courier New"/>
          <w:sz w:val="24"/>
          <w:szCs w:val="24"/>
          <w:lang w:eastAsia="el-GR"/>
        </w:rPr>
        <w:t>διατίθεται</w:t>
      </w:r>
      <w:r w:rsidR="001A6A37">
        <w:rPr>
          <w:rFonts w:ascii="Calibri" w:eastAsia="Times New Roman" w:hAnsi="Calibri" w:cs="Courier New"/>
          <w:sz w:val="24"/>
          <w:szCs w:val="24"/>
          <w:lang w:eastAsia="el-GR"/>
        </w:rPr>
        <w:t xml:space="preserve"> υπόλοιπο επιτρεπόμενης κάλυψης (ή και δόμησης, κατά περίπτωση) που να επιτρέπει </w:t>
      </w:r>
      <w:r w:rsidR="00C042D3">
        <w:rPr>
          <w:rFonts w:ascii="Calibri" w:eastAsia="Times New Roman" w:hAnsi="Calibri" w:cs="Courier New"/>
          <w:sz w:val="24"/>
          <w:szCs w:val="24"/>
          <w:lang w:eastAsia="el-GR"/>
        </w:rPr>
        <w:t>την ίδρυση</w:t>
      </w:r>
      <w:r w:rsidR="001A6A37">
        <w:rPr>
          <w:rFonts w:ascii="Calibri" w:eastAsia="Times New Roman" w:hAnsi="Calibri" w:cs="Courier New"/>
          <w:sz w:val="24"/>
          <w:szCs w:val="24"/>
          <w:lang w:eastAsia="el-GR"/>
        </w:rPr>
        <w:t xml:space="preserve"> </w:t>
      </w:r>
      <w:proofErr w:type="spellStart"/>
      <w:r w:rsidR="001A6A37">
        <w:rPr>
          <w:rFonts w:ascii="Calibri" w:eastAsia="Times New Roman" w:hAnsi="Calibri" w:cs="Courier New"/>
          <w:sz w:val="24"/>
          <w:szCs w:val="24"/>
          <w:lang w:eastAsia="el-GR"/>
        </w:rPr>
        <w:t>οινοτουριστική</w:t>
      </w:r>
      <w:r w:rsidR="00C042D3">
        <w:rPr>
          <w:rFonts w:ascii="Calibri" w:eastAsia="Times New Roman" w:hAnsi="Calibri" w:cs="Courier New"/>
          <w:sz w:val="24"/>
          <w:szCs w:val="24"/>
          <w:lang w:eastAsia="el-GR"/>
        </w:rPr>
        <w:t>ς</w:t>
      </w:r>
      <w:proofErr w:type="spellEnd"/>
      <w:r w:rsidR="001A6A37">
        <w:rPr>
          <w:rFonts w:ascii="Calibri" w:eastAsia="Times New Roman" w:hAnsi="Calibri" w:cs="Courier New"/>
          <w:sz w:val="24"/>
          <w:szCs w:val="24"/>
          <w:lang w:eastAsia="el-GR"/>
        </w:rPr>
        <w:t xml:space="preserve"> εγκατάσταση</w:t>
      </w:r>
      <w:r w:rsidR="00C042D3">
        <w:rPr>
          <w:rFonts w:ascii="Calibri" w:eastAsia="Times New Roman" w:hAnsi="Calibri" w:cs="Courier New"/>
          <w:sz w:val="24"/>
          <w:szCs w:val="24"/>
          <w:lang w:eastAsia="el-GR"/>
        </w:rPr>
        <w:t>ς</w:t>
      </w:r>
      <w:r w:rsidR="001A6A37">
        <w:rPr>
          <w:rFonts w:ascii="Calibri" w:eastAsia="Times New Roman" w:hAnsi="Calibri" w:cs="Courier New"/>
          <w:sz w:val="24"/>
          <w:szCs w:val="24"/>
          <w:lang w:eastAsia="el-GR"/>
        </w:rPr>
        <w:t>, οποιασδήποτε μορφής</w:t>
      </w:r>
      <w:r w:rsidR="00C042D3">
        <w:rPr>
          <w:rFonts w:ascii="Calibri" w:eastAsia="Times New Roman" w:hAnsi="Calibri" w:cs="Courier New"/>
          <w:sz w:val="24"/>
          <w:szCs w:val="24"/>
          <w:lang w:eastAsia="el-GR"/>
        </w:rPr>
        <w:t xml:space="preserve"> και μεγέθους</w:t>
      </w:r>
      <w:r w:rsidR="001A6A37">
        <w:rPr>
          <w:rFonts w:ascii="Calibri" w:eastAsia="Times New Roman" w:hAnsi="Calibri" w:cs="Courier New"/>
          <w:sz w:val="24"/>
          <w:szCs w:val="24"/>
          <w:lang w:eastAsia="el-GR"/>
        </w:rPr>
        <w:t>.</w:t>
      </w:r>
    </w:p>
    <w:p w:rsidR="001A6A37" w:rsidRPr="003D13E5" w:rsidRDefault="00982017"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Ακόμα όμως και στην περίπτωση που περίσσευε κάλυψη και δόμηση για </w:t>
      </w:r>
      <w:proofErr w:type="spellStart"/>
      <w:r>
        <w:rPr>
          <w:rFonts w:ascii="Calibri" w:eastAsia="Times New Roman" w:hAnsi="Calibri" w:cs="Courier New"/>
          <w:sz w:val="24"/>
          <w:szCs w:val="24"/>
          <w:lang w:eastAsia="el-GR"/>
        </w:rPr>
        <w:t>οινοτουριστικές</w:t>
      </w:r>
      <w:proofErr w:type="spellEnd"/>
      <w:r>
        <w:rPr>
          <w:rFonts w:ascii="Calibri" w:eastAsia="Times New Roman" w:hAnsi="Calibri" w:cs="Courier New"/>
          <w:sz w:val="24"/>
          <w:szCs w:val="24"/>
          <w:lang w:eastAsia="el-GR"/>
        </w:rPr>
        <w:t xml:space="preserve"> εγκαταστάσεις, αυτές θα έπρεπε να έχουν απόσταση από τα όρια 15μ (κάτι που προϋποθέτει πλάτος γηπέδου τουλάχιστον 40 μ), ενώ οι αποστάσεις από του οινοποιείου από τα όρια – παρότι περισσότερο </w:t>
      </w:r>
      <w:proofErr w:type="spellStart"/>
      <w:r>
        <w:rPr>
          <w:rFonts w:ascii="Calibri" w:eastAsia="Times New Roman" w:hAnsi="Calibri" w:cs="Courier New"/>
          <w:sz w:val="24"/>
          <w:szCs w:val="24"/>
          <w:lang w:eastAsia="el-GR"/>
        </w:rPr>
        <w:t>οχλούσα</w:t>
      </w:r>
      <w:proofErr w:type="spellEnd"/>
      <w:r>
        <w:rPr>
          <w:rFonts w:ascii="Calibri" w:eastAsia="Times New Roman" w:hAnsi="Calibri" w:cs="Courier New"/>
          <w:sz w:val="24"/>
          <w:szCs w:val="24"/>
          <w:lang w:eastAsia="el-GR"/>
        </w:rPr>
        <w:t xml:space="preserve"> εγκατάσταση από μια </w:t>
      </w:r>
      <w:proofErr w:type="spellStart"/>
      <w:r>
        <w:rPr>
          <w:rFonts w:ascii="Calibri" w:eastAsia="Times New Roman" w:hAnsi="Calibri" w:cs="Courier New"/>
          <w:sz w:val="24"/>
          <w:szCs w:val="24"/>
          <w:lang w:eastAsia="el-GR"/>
        </w:rPr>
        <w:t>οινοτουριστική</w:t>
      </w:r>
      <w:proofErr w:type="spellEnd"/>
      <w:r w:rsidR="00C042D3">
        <w:rPr>
          <w:rFonts w:ascii="Calibri" w:eastAsia="Times New Roman" w:hAnsi="Calibri" w:cs="Courier New"/>
          <w:sz w:val="24"/>
          <w:szCs w:val="24"/>
          <w:lang w:eastAsia="el-GR"/>
        </w:rPr>
        <w:t xml:space="preserve"> -</w:t>
      </w:r>
      <w:r>
        <w:rPr>
          <w:rFonts w:ascii="Calibri" w:eastAsia="Times New Roman" w:hAnsi="Calibri" w:cs="Courier New"/>
          <w:sz w:val="24"/>
          <w:szCs w:val="24"/>
          <w:lang w:eastAsia="el-GR"/>
        </w:rPr>
        <w:t xml:space="preserve"> θα μπορούσαν να είναι μόνο 5 μ.</w:t>
      </w:r>
    </w:p>
    <w:p w:rsidR="003D13E5" w:rsidRDefault="003D13E5" w:rsidP="00426768">
      <w:pPr>
        <w:spacing w:after="0" w:line="28" w:lineRule="atLeast"/>
        <w:jc w:val="both"/>
        <w:rPr>
          <w:rFonts w:ascii="Calibri" w:eastAsia="Times New Roman" w:hAnsi="Calibri" w:cs="Courier New"/>
          <w:b/>
          <w:sz w:val="24"/>
          <w:szCs w:val="24"/>
          <w:lang w:eastAsia="el-GR"/>
        </w:rPr>
      </w:pPr>
    </w:p>
    <w:p w:rsidR="003D13E5" w:rsidRDefault="00C042D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96251D" w:rsidRPr="0096251D">
        <w:rPr>
          <w:rFonts w:ascii="Calibri" w:eastAsia="Times New Roman" w:hAnsi="Calibri" w:cs="Courier New"/>
          <w:sz w:val="24"/>
          <w:szCs w:val="24"/>
          <w:lang w:eastAsia="el-GR"/>
        </w:rPr>
        <w:t>Για την άρση αυτού του αδιεξόδου θα μπορούσε να θεσμοθετηθεί</w:t>
      </w:r>
      <w:r w:rsidR="0096251D">
        <w:rPr>
          <w:rFonts w:ascii="Calibri" w:eastAsia="Times New Roman" w:hAnsi="Calibri" w:cs="Courier New"/>
          <w:sz w:val="24"/>
          <w:szCs w:val="24"/>
          <w:lang w:eastAsia="el-GR"/>
        </w:rPr>
        <w:t xml:space="preserve"> η ένταξη </w:t>
      </w:r>
      <w:r>
        <w:rPr>
          <w:rFonts w:ascii="Calibri" w:eastAsia="Times New Roman" w:hAnsi="Calibri" w:cs="Courier New"/>
          <w:sz w:val="24"/>
          <w:szCs w:val="24"/>
          <w:lang w:eastAsia="el-GR"/>
        </w:rPr>
        <w:t xml:space="preserve">μιας </w:t>
      </w:r>
      <w:proofErr w:type="spellStart"/>
      <w:r w:rsidR="0096251D">
        <w:rPr>
          <w:rFonts w:ascii="Calibri" w:eastAsia="Times New Roman" w:hAnsi="Calibri" w:cs="Courier New"/>
          <w:sz w:val="24"/>
          <w:szCs w:val="24"/>
          <w:lang w:eastAsia="el-GR"/>
        </w:rPr>
        <w:t>οινοτουριστικής</w:t>
      </w:r>
      <w:proofErr w:type="spellEnd"/>
      <w:r w:rsidR="0096251D">
        <w:rPr>
          <w:rFonts w:ascii="Calibri" w:eastAsia="Times New Roman" w:hAnsi="Calibri" w:cs="Courier New"/>
          <w:sz w:val="24"/>
          <w:szCs w:val="24"/>
          <w:lang w:eastAsia="el-GR"/>
        </w:rPr>
        <w:t xml:space="preserve"> εγκατάστασης </w:t>
      </w:r>
      <w:r>
        <w:rPr>
          <w:rFonts w:ascii="Calibri" w:eastAsia="Times New Roman" w:hAnsi="Calibri" w:cs="Courier New"/>
          <w:sz w:val="24"/>
          <w:szCs w:val="24"/>
          <w:lang w:eastAsia="el-GR"/>
        </w:rPr>
        <w:t>σε</w:t>
      </w:r>
      <w:r w:rsidR="0096251D">
        <w:rPr>
          <w:rFonts w:ascii="Calibri" w:eastAsia="Times New Roman" w:hAnsi="Calibri" w:cs="Courier New"/>
          <w:sz w:val="24"/>
          <w:szCs w:val="24"/>
          <w:lang w:eastAsia="el-GR"/>
        </w:rPr>
        <w:t xml:space="preserve"> οινοποιείο,</w:t>
      </w:r>
      <w:r w:rsidR="00AA60B3">
        <w:rPr>
          <w:rFonts w:ascii="Calibri" w:eastAsia="Times New Roman" w:hAnsi="Calibri" w:cs="Courier New"/>
          <w:sz w:val="24"/>
          <w:szCs w:val="24"/>
          <w:lang w:eastAsia="el-GR"/>
        </w:rPr>
        <w:t xml:space="preserve"> ιδιαίτερα στην περίπτωση των απαιτητικών ΕΕΔΔ,</w:t>
      </w:r>
      <w:r w:rsidR="0096251D">
        <w:rPr>
          <w:rFonts w:ascii="Calibri" w:eastAsia="Times New Roman" w:hAnsi="Calibri" w:cs="Courier New"/>
          <w:sz w:val="24"/>
          <w:szCs w:val="24"/>
          <w:lang w:eastAsia="el-GR"/>
        </w:rPr>
        <w:t xml:space="preserve"> ως συνδεδεμένου και λειτουργικού τμήματός του</w:t>
      </w:r>
      <w:r w:rsidR="00BD1754">
        <w:rPr>
          <w:rFonts w:ascii="Calibri" w:eastAsia="Times New Roman" w:hAnsi="Calibri" w:cs="Courier New"/>
          <w:sz w:val="24"/>
          <w:szCs w:val="24"/>
          <w:lang w:eastAsia="el-GR"/>
        </w:rPr>
        <w:t xml:space="preserve"> με </w:t>
      </w:r>
      <w:r>
        <w:rPr>
          <w:rFonts w:ascii="Calibri" w:eastAsia="Times New Roman" w:hAnsi="Calibri" w:cs="Courier New"/>
          <w:sz w:val="24"/>
          <w:szCs w:val="24"/>
          <w:lang w:eastAsia="el-GR"/>
        </w:rPr>
        <w:t xml:space="preserve">δευτερεύουσα και </w:t>
      </w:r>
      <w:r w:rsidR="00BD1754">
        <w:rPr>
          <w:rFonts w:ascii="Calibri" w:eastAsia="Times New Roman" w:hAnsi="Calibri" w:cs="Courier New"/>
          <w:sz w:val="24"/>
          <w:szCs w:val="24"/>
          <w:lang w:eastAsia="el-GR"/>
        </w:rPr>
        <w:t>συμπληρωματική χρήση</w:t>
      </w:r>
      <w:r w:rsidR="0096251D">
        <w:rPr>
          <w:rFonts w:ascii="Calibri" w:eastAsia="Times New Roman" w:hAnsi="Calibri" w:cs="Courier New"/>
          <w:sz w:val="24"/>
          <w:szCs w:val="24"/>
          <w:lang w:eastAsia="el-GR"/>
        </w:rPr>
        <w:t xml:space="preserve">, </w:t>
      </w:r>
      <w:r>
        <w:rPr>
          <w:rFonts w:ascii="Calibri" w:eastAsia="Times New Roman" w:hAnsi="Calibri" w:cs="Courier New"/>
          <w:sz w:val="24"/>
          <w:szCs w:val="24"/>
          <w:lang w:eastAsia="el-GR"/>
        </w:rPr>
        <w:t xml:space="preserve">ώστε για το σύνολο των εγκαταστάσεων (βιομηχανικών και </w:t>
      </w:r>
      <w:proofErr w:type="spellStart"/>
      <w:r>
        <w:rPr>
          <w:rFonts w:ascii="Calibri" w:eastAsia="Times New Roman" w:hAnsi="Calibri" w:cs="Courier New"/>
          <w:sz w:val="24"/>
          <w:szCs w:val="24"/>
          <w:lang w:eastAsia="el-GR"/>
        </w:rPr>
        <w:t>οινοτουριστικών</w:t>
      </w:r>
      <w:proofErr w:type="spellEnd"/>
      <w:r>
        <w:rPr>
          <w:rFonts w:ascii="Calibri" w:eastAsia="Times New Roman" w:hAnsi="Calibri" w:cs="Courier New"/>
          <w:sz w:val="24"/>
          <w:szCs w:val="24"/>
          <w:lang w:eastAsia="el-GR"/>
        </w:rPr>
        <w:t xml:space="preserve"> )</w:t>
      </w:r>
      <w:r w:rsidR="00AA60B3">
        <w:rPr>
          <w:rFonts w:ascii="Calibri" w:eastAsia="Times New Roman" w:hAnsi="Calibri" w:cs="Courier New"/>
          <w:sz w:val="24"/>
          <w:szCs w:val="24"/>
          <w:lang w:eastAsia="el-GR"/>
        </w:rPr>
        <w:t xml:space="preserve"> να ισχύουν συνολικά και να εφαρμόζονται </w:t>
      </w:r>
      <w:r w:rsidR="0096251D">
        <w:rPr>
          <w:rFonts w:ascii="Calibri" w:eastAsia="Times New Roman" w:hAnsi="Calibri" w:cs="Courier New"/>
          <w:sz w:val="24"/>
          <w:szCs w:val="24"/>
          <w:lang w:eastAsia="el-GR"/>
        </w:rPr>
        <w:t xml:space="preserve"> </w:t>
      </w:r>
      <w:r w:rsidR="00AA60B3">
        <w:rPr>
          <w:rFonts w:ascii="Calibri" w:eastAsia="Times New Roman" w:hAnsi="Calibri" w:cs="Courier New"/>
          <w:sz w:val="24"/>
          <w:szCs w:val="24"/>
          <w:lang w:eastAsia="el-GR"/>
        </w:rPr>
        <w:t>οι όροι δόμησης</w:t>
      </w:r>
      <w:r w:rsidR="0096251D">
        <w:rPr>
          <w:rFonts w:ascii="Calibri" w:eastAsia="Times New Roman" w:hAnsi="Calibri" w:cs="Courier New"/>
          <w:sz w:val="24"/>
          <w:szCs w:val="24"/>
          <w:lang w:eastAsia="el-GR"/>
        </w:rPr>
        <w:t xml:space="preserve"> </w:t>
      </w:r>
      <w:proofErr w:type="spellStart"/>
      <w:r w:rsidR="0096251D">
        <w:rPr>
          <w:rFonts w:ascii="Calibri" w:eastAsia="Times New Roman" w:hAnsi="Calibri" w:cs="Courier New"/>
          <w:sz w:val="24"/>
          <w:szCs w:val="24"/>
          <w:lang w:eastAsia="el-GR"/>
        </w:rPr>
        <w:t>δόμησης</w:t>
      </w:r>
      <w:proofErr w:type="spellEnd"/>
      <w:r w:rsidR="00BD1754">
        <w:rPr>
          <w:rFonts w:ascii="Calibri" w:eastAsia="Times New Roman" w:hAnsi="Calibri" w:cs="Courier New"/>
          <w:sz w:val="24"/>
          <w:szCs w:val="24"/>
          <w:lang w:eastAsia="el-GR"/>
        </w:rPr>
        <w:t xml:space="preserve"> το</w:t>
      </w:r>
      <w:r w:rsidR="00AA60B3">
        <w:rPr>
          <w:rFonts w:ascii="Calibri" w:eastAsia="Times New Roman" w:hAnsi="Calibri" w:cs="Courier New"/>
          <w:sz w:val="24"/>
          <w:szCs w:val="24"/>
          <w:lang w:eastAsia="el-GR"/>
        </w:rPr>
        <w:t>υ</w:t>
      </w:r>
      <w:r w:rsidR="00BD1754">
        <w:rPr>
          <w:rFonts w:ascii="Calibri" w:eastAsia="Times New Roman" w:hAnsi="Calibri" w:cs="Courier New"/>
          <w:sz w:val="24"/>
          <w:szCs w:val="24"/>
          <w:lang w:eastAsia="el-GR"/>
        </w:rPr>
        <w:t xml:space="preserve"> Άρθρο</w:t>
      </w:r>
      <w:r w:rsidR="00AA60B3">
        <w:rPr>
          <w:rFonts w:ascii="Calibri" w:eastAsia="Times New Roman" w:hAnsi="Calibri" w:cs="Courier New"/>
          <w:sz w:val="24"/>
          <w:szCs w:val="24"/>
          <w:lang w:eastAsia="el-GR"/>
        </w:rPr>
        <w:t>υ</w:t>
      </w:r>
      <w:r w:rsidR="00BD1754">
        <w:rPr>
          <w:rFonts w:ascii="Calibri" w:eastAsia="Times New Roman" w:hAnsi="Calibri" w:cs="Courier New"/>
          <w:sz w:val="24"/>
          <w:szCs w:val="24"/>
          <w:lang w:eastAsia="el-GR"/>
        </w:rPr>
        <w:t xml:space="preserve"> 4 (βιομηχανικές εγκαταστάσεις). Στην προκειμένη περίπτωση, </w:t>
      </w:r>
      <w:r w:rsidR="00AA60B3">
        <w:rPr>
          <w:rFonts w:ascii="Calibri" w:eastAsia="Times New Roman" w:hAnsi="Calibri" w:cs="Courier New"/>
          <w:sz w:val="24"/>
          <w:szCs w:val="24"/>
          <w:lang w:eastAsia="el-GR"/>
        </w:rPr>
        <w:t xml:space="preserve">και προκειμένου να μη καταστρατηγηθεί η βούληση του νομοθέτη που προέβλεψε μικρού μεγέθους </w:t>
      </w:r>
      <w:proofErr w:type="spellStart"/>
      <w:r w:rsidR="00AA60B3">
        <w:rPr>
          <w:rFonts w:ascii="Calibri" w:eastAsia="Times New Roman" w:hAnsi="Calibri" w:cs="Courier New"/>
          <w:sz w:val="24"/>
          <w:szCs w:val="24"/>
          <w:lang w:eastAsia="el-GR"/>
        </w:rPr>
        <w:t>οινοτουριστικές</w:t>
      </w:r>
      <w:proofErr w:type="spellEnd"/>
      <w:r w:rsidR="00AA60B3">
        <w:rPr>
          <w:rFonts w:ascii="Calibri" w:eastAsia="Times New Roman" w:hAnsi="Calibri" w:cs="Courier New"/>
          <w:sz w:val="24"/>
          <w:szCs w:val="24"/>
          <w:lang w:eastAsia="el-GR"/>
        </w:rPr>
        <w:t xml:space="preserve"> εγκαταστάσεις, </w:t>
      </w:r>
      <w:r w:rsidR="00BD1754">
        <w:rPr>
          <w:rFonts w:ascii="Calibri" w:eastAsia="Times New Roman" w:hAnsi="Calibri" w:cs="Courier New"/>
          <w:sz w:val="24"/>
          <w:szCs w:val="24"/>
          <w:lang w:eastAsia="el-GR"/>
        </w:rPr>
        <w:t xml:space="preserve">θα μπορούσε να θεσμοθετηθεί μέγιστη επιτρεπόμενη συνολική δόμηση </w:t>
      </w:r>
      <w:r w:rsidR="00AA60B3">
        <w:rPr>
          <w:rFonts w:ascii="Calibri" w:eastAsia="Times New Roman" w:hAnsi="Calibri" w:cs="Courier New"/>
          <w:sz w:val="24"/>
          <w:szCs w:val="24"/>
          <w:lang w:eastAsia="el-GR"/>
        </w:rPr>
        <w:t>ΕΕΔΔ</w:t>
      </w:r>
      <w:r w:rsidR="00BD1754">
        <w:rPr>
          <w:rFonts w:ascii="Calibri" w:eastAsia="Times New Roman" w:hAnsi="Calibri" w:cs="Courier New"/>
          <w:sz w:val="24"/>
          <w:szCs w:val="24"/>
          <w:lang w:eastAsia="el-GR"/>
        </w:rPr>
        <w:t xml:space="preserve">, </w:t>
      </w:r>
      <w:r w:rsidR="00AA60B3">
        <w:rPr>
          <w:rFonts w:ascii="Calibri" w:eastAsia="Times New Roman" w:hAnsi="Calibri" w:cs="Courier New"/>
          <w:sz w:val="24"/>
          <w:szCs w:val="24"/>
          <w:lang w:eastAsia="el-GR"/>
        </w:rPr>
        <w:t xml:space="preserve">που να διασφαλίζει όμως τη λειτουργικότητα και βιωσιμότητά του, </w:t>
      </w:r>
      <w:r w:rsidR="00BD1754">
        <w:rPr>
          <w:rFonts w:ascii="Calibri" w:eastAsia="Times New Roman" w:hAnsi="Calibri" w:cs="Courier New"/>
          <w:sz w:val="24"/>
          <w:szCs w:val="24"/>
          <w:lang w:eastAsia="el-GR"/>
        </w:rPr>
        <w:t>(πχ 3</w:t>
      </w:r>
      <w:r w:rsidR="00AA60B3">
        <w:rPr>
          <w:rFonts w:ascii="Calibri" w:eastAsia="Times New Roman" w:hAnsi="Calibri" w:cs="Courier New"/>
          <w:sz w:val="24"/>
          <w:szCs w:val="24"/>
          <w:lang w:eastAsia="el-GR"/>
        </w:rPr>
        <w:t>0</w:t>
      </w:r>
      <w:r w:rsidR="00BD1754">
        <w:rPr>
          <w:rFonts w:ascii="Calibri" w:eastAsia="Times New Roman" w:hAnsi="Calibri" w:cs="Courier New"/>
          <w:sz w:val="24"/>
          <w:szCs w:val="24"/>
          <w:lang w:eastAsia="el-GR"/>
        </w:rPr>
        <w:t>0 ή 350 μ2)</w:t>
      </w:r>
      <w:r w:rsidR="00AA60B3">
        <w:rPr>
          <w:rFonts w:ascii="Calibri" w:eastAsia="Times New Roman" w:hAnsi="Calibri" w:cs="Courier New"/>
          <w:sz w:val="24"/>
          <w:szCs w:val="24"/>
          <w:lang w:eastAsia="el-GR"/>
        </w:rPr>
        <w:t>, με δυνατότητα</w:t>
      </w:r>
      <w:r w:rsidR="00BD1754">
        <w:rPr>
          <w:rFonts w:ascii="Calibri" w:eastAsia="Times New Roman" w:hAnsi="Calibri" w:cs="Courier New"/>
          <w:sz w:val="24"/>
          <w:szCs w:val="24"/>
          <w:lang w:eastAsia="el-GR"/>
        </w:rPr>
        <w:t xml:space="preserve"> </w:t>
      </w:r>
      <w:r w:rsidR="00922483">
        <w:rPr>
          <w:rFonts w:ascii="Calibri" w:eastAsia="Times New Roman" w:hAnsi="Calibri" w:cs="Courier New"/>
          <w:sz w:val="24"/>
          <w:szCs w:val="24"/>
          <w:lang w:eastAsia="el-GR"/>
        </w:rPr>
        <w:t>ανάλογη</w:t>
      </w:r>
      <w:r w:rsidR="00AA60B3">
        <w:rPr>
          <w:rFonts w:ascii="Calibri" w:eastAsia="Times New Roman" w:hAnsi="Calibri" w:cs="Courier New"/>
          <w:sz w:val="24"/>
          <w:szCs w:val="24"/>
          <w:lang w:eastAsia="el-GR"/>
        </w:rPr>
        <w:t>ς</w:t>
      </w:r>
      <w:r w:rsidR="00922483">
        <w:rPr>
          <w:rFonts w:ascii="Calibri" w:eastAsia="Times New Roman" w:hAnsi="Calibri" w:cs="Courier New"/>
          <w:sz w:val="24"/>
          <w:szCs w:val="24"/>
          <w:lang w:eastAsia="el-GR"/>
        </w:rPr>
        <w:t xml:space="preserve"> </w:t>
      </w:r>
      <w:r w:rsidR="00BD1754">
        <w:rPr>
          <w:rFonts w:ascii="Calibri" w:eastAsia="Times New Roman" w:hAnsi="Calibri" w:cs="Courier New"/>
          <w:sz w:val="24"/>
          <w:szCs w:val="24"/>
          <w:lang w:eastAsia="el-GR"/>
        </w:rPr>
        <w:t>προσαύξησή</w:t>
      </w:r>
      <w:r w:rsidR="00AA60B3">
        <w:rPr>
          <w:rFonts w:ascii="Calibri" w:eastAsia="Times New Roman" w:hAnsi="Calibri" w:cs="Courier New"/>
          <w:sz w:val="24"/>
          <w:szCs w:val="24"/>
          <w:lang w:eastAsia="el-GR"/>
        </w:rPr>
        <w:t>ς</w:t>
      </w:r>
      <w:r w:rsidR="00BD1754">
        <w:rPr>
          <w:rFonts w:ascii="Calibri" w:eastAsia="Times New Roman" w:hAnsi="Calibri" w:cs="Courier New"/>
          <w:sz w:val="24"/>
          <w:szCs w:val="24"/>
          <w:lang w:eastAsia="el-GR"/>
        </w:rPr>
        <w:t xml:space="preserve"> της (πχ κατά 80 – 100 μ2</w:t>
      </w:r>
      <w:r w:rsidR="00AA60B3">
        <w:rPr>
          <w:rFonts w:ascii="Calibri" w:eastAsia="Times New Roman" w:hAnsi="Calibri" w:cs="Courier New"/>
          <w:sz w:val="24"/>
          <w:szCs w:val="24"/>
          <w:lang w:eastAsia="el-GR"/>
        </w:rPr>
        <w:t>), εφ’ όσον προβλέπει και χώρο</w:t>
      </w:r>
      <w:r w:rsidR="00BD1754">
        <w:rPr>
          <w:rFonts w:ascii="Calibri" w:eastAsia="Times New Roman" w:hAnsi="Calibri" w:cs="Courier New"/>
          <w:sz w:val="24"/>
          <w:szCs w:val="24"/>
          <w:lang w:eastAsia="el-GR"/>
        </w:rPr>
        <w:t xml:space="preserve"> εστίασης</w:t>
      </w:r>
      <w:r w:rsidR="00922483">
        <w:rPr>
          <w:rFonts w:ascii="Calibri" w:eastAsia="Times New Roman" w:hAnsi="Calibri" w:cs="Courier New"/>
          <w:sz w:val="24"/>
          <w:szCs w:val="24"/>
          <w:lang w:eastAsia="el-GR"/>
        </w:rPr>
        <w:t>- αναψυχής,</w:t>
      </w:r>
      <w:r w:rsidR="00BD1754">
        <w:rPr>
          <w:rFonts w:ascii="Calibri" w:eastAsia="Times New Roman" w:hAnsi="Calibri" w:cs="Courier New"/>
          <w:sz w:val="24"/>
          <w:szCs w:val="24"/>
          <w:lang w:eastAsia="el-GR"/>
        </w:rPr>
        <w:t xml:space="preserve"> γευσιγνωσίας κλπ).</w:t>
      </w:r>
    </w:p>
    <w:p w:rsidR="00BD1754" w:rsidRDefault="00BD1754" w:rsidP="00426768">
      <w:pPr>
        <w:spacing w:after="0" w:line="28" w:lineRule="atLeast"/>
        <w:jc w:val="both"/>
        <w:rPr>
          <w:rFonts w:ascii="Calibri" w:eastAsia="Times New Roman" w:hAnsi="Calibri" w:cs="Courier New"/>
          <w:sz w:val="24"/>
          <w:szCs w:val="24"/>
          <w:lang w:eastAsia="el-GR"/>
        </w:rPr>
      </w:pPr>
    </w:p>
    <w:p w:rsidR="00B13921" w:rsidRPr="00B13921" w:rsidRDefault="00BD1754" w:rsidP="00426768">
      <w:pPr>
        <w:spacing w:after="0" w:line="28" w:lineRule="atLeast"/>
        <w:jc w:val="both"/>
        <w:rPr>
          <w:rFonts w:ascii="Calibri" w:eastAsia="Times New Roman" w:hAnsi="Calibri" w:cs="Courier New"/>
          <w:b/>
          <w:sz w:val="24"/>
          <w:szCs w:val="24"/>
          <w:lang w:eastAsia="el-GR"/>
        </w:rPr>
      </w:pPr>
      <w:r w:rsidRPr="00465644">
        <w:rPr>
          <w:rFonts w:ascii="Calibri" w:eastAsia="Times New Roman" w:hAnsi="Calibri" w:cs="Courier New"/>
          <w:b/>
          <w:sz w:val="24"/>
          <w:szCs w:val="24"/>
          <w:lang w:eastAsia="el-GR"/>
        </w:rPr>
        <w:t>ΠΑΡΑΔΕΙΓΜΑ (ΟΙΝΟΠΟΙΕΙΟ στη</w:t>
      </w:r>
      <w:r w:rsidR="00B13921">
        <w:rPr>
          <w:rFonts w:ascii="Calibri" w:eastAsia="Times New Roman" w:hAnsi="Calibri" w:cs="Courier New"/>
          <w:b/>
          <w:sz w:val="24"/>
          <w:szCs w:val="24"/>
          <w:lang w:eastAsia="el-GR"/>
        </w:rPr>
        <w:t>ν</w:t>
      </w:r>
      <w:r w:rsidRPr="00465644">
        <w:rPr>
          <w:rFonts w:ascii="Calibri" w:eastAsia="Times New Roman" w:hAnsi="Calibri" w:cs="Courier New"/>
          <w:b/>
          <w:sz w:val="24"/>
          <w:szCs w:val="24"/>
          <w:lang w:eastAsia="el-GR"/>
        </w:rPr>
        <w:t xml:space="preserve"> </w:t>
      </w:r>
      <w:r w:rsidR="00B13921">
        <w:rPr>
          <w:rFonts w:ascii="Calibri" w:eastAsia="Times New Roman" w:hAnsi="Calibri" w:cs="Courier New"/>
          <w:b/>
          <w:sz w:val="24"/>
          <w:szCs w:val="24"/>
          <w:lang w:eastAsia="el-GR"/>
        </w:rPr>
        <w:t xml:space="preserve">εκτός σχεδίου και οικισμού περιοχή </w:t>
      </w:r>
      <w:r w:rsidRPr="00465644">
        <w:rPr>
          <w:rFonts w:ascii="Calibri" w:eastAsia="Times New Roman" w:hAnsi="Calibri" w:cs="Courier New"/>
          <w:b/>
          <w:sz w:val="24"/>
          <w:szCs w:val="24"/>
          <w:lang w:eastAsia="el-GR"/>
        </w:rPr>
        <w:t>ΝΕΜΕΑ</w:t>
      </w:r>
      <w:r w:rsidR="00B13921">
        <w:rPr>
          <w:rFonts w:ascii="Calibri" w:eastAsia="Times New Roman" w:hAnsi="Calibri" w:cs="Courier New"/>
          <w:b/>
          <w:sz w:val="24"/>
          <w:szCs w:val="24"/>
          <w:lang w:eastAsia="el-GR"/>
        </w:rPr>
        <w:t>Σ</w:t>
      </w:r>
      <w:r w:rsidRPr="00465644">
        <w:rPr>
          <w:rFonts w:ascii="Calibri" w:eastAsia="Times New Roman" w:hAnsi="Calibri" w:cs="Courier New"/>
          <w:b/>
          <w:sz w:val="24"/>
          <w:szCs w:val="24"/>
          <w:lang w:eastAsia="el-GR"/>
        </w:rPr>
        <w:t>)</w:t>
      </w:r>
    </w:p>
    <w:p w:rsidR="00BD1754" w:rsidRPr="00BD1754" w:rsidRDefault="00BD1754" w:rsidP="00426768">
      <w:pPr>
        <w:pStyle w:val="a3"/>
        <w:numPr>
          <w:ilvl w:val="0"/>
          <w:numId w:val="4"/>
        </w:numPr>
        <w:spacing w:after="0" w:line="28" w:lineRule="atLeast"/>
        <w:jc w:val="both"/>
        <w:rPr>
          <w:rFonts w:ascii="Calibri" w:eastAsia="Times New Roman" w:hAnsi="Calibri" w:cs="Courier New"/>
          <w:sz w:val="24"/>
          <w:szCs w:val="24"/>
          <w:lang w:eastAsia="el-GR"/>
        </w:rPr>
      </w:pPr>
      <w:r w:rsidRPr="00BD1754">
        <w:rPr>
          <w:rFonts w:ascii="Calibri" w:eastAsia="Times New Roman" w:hAnsi="Calibri" w:cs="Courier New"/>
          <w:sz w:val="24"/>
          <w:szCs w:val="24"/>
          <w:lang w:eastAsia="el-GR"/>
        </w:rPr>
        <w:t>Εμβαδόν γηπέδου: 4.485 μ2</w:t>
      </w:r>
      <w:r w:rsidR="00B035C3">
        <w:rPr>
          <w:rFonts w:ascii="Calibri" w:eastAsia="Times New Roman" w:hAnsi="Calibri" w:cs="Courier New"/>
          <w:sz w:val="24"/>
          <w:szCs w:val="24"/>
          <w:lang w:eastAsia="el-GR"/>
        </w:rPr>
        <w:t xml:space="preserve"> (προϋφίσταται </w:t>
      </w:r>
      <w:r w:rsidR="00AA60B3">
        <w:rPr>
          <w:rFonts w:ascii="Calibri" w:eastAsia="Times New Roman" w:hAnsi="Calibri" w:cs="Courier New"/>
          <w:sz w:val="24"/>
          <w:szCs w:val="24"/>
          <w:lang w:eastAsia="el-GR"/>
        </w:rPr>
        <w:t xml:space="preserve">της </w:t>
      </w:r>
      <w:r w:rsidR="00B035C3" w:rsidRPr="006823AA">
        <w:rPr>
          <w:rFonts w:ascii="Calibri" w:eastAsia="Times New Roman" w:hAnsi="Calibri" w:cs="Courier New"/>
          <w:sz w:val="24"/>
          <w:szCs w:val="24"/>
          <w:lang w:eastAsia="el-GR"/>
        </w:rPr>
        <w:t>15-4-81</w:t>
      </w:r>
      <w:r w:rsidR="00B035C3">
        <w:rPr>
          <w:rFonts w:ascii="Calibri" w:eastAsia="Times New Roman" w:hAnsi="Calibri" w:cs="Courier New"/>
          <w:sz w:val="24"/>
          <w:szCs w:val="24"/>
          <w:lang w:eastAsia="el-GR"/>
        </w:rPr>
        <w:t>)</w:t>
      </w:r>
    </w:p>
    <w:p w:rsidR="00BD1754" w:rsidRDefault="00BD1754" w:rsidP="00426768">
      <w:pPr>
        <w:pStyle w:val="a3"/>
        <w:numPr>
          <w:ilvl w:val="0"/>
          <w:numId w:val="4"/>
        </w:numPr>
        <w:spacing w:after="0" w:line="28" w:lineRule="atLeast"/>
        <w:jc w:val="both"/>
        <w:rPr>
          <w:rFonts w:ascii="Calibri" w:eastAsia="Times New Roman" w:hAnsi="Calibri" w:cs="Courier New"/>
          <w:sz w:val="24"/>
          <w:szCs w:val="24"/>
          <w:lang w:eastAsia="el-GR"/>
        </w:rPr>
      </w:pPr>
      <w:r w:rsidRPr="00BD1754">
        <w:rPr>
          <w:rFonts w:ascii="Calibri" w:eastAsia="Times New Roman" w:hAnsi="Calibri" w:cs="Courier New"/>
          <w:sz w:val="24"/>
          <w:szCs w:val="24"/>
          <w:lang w:eastAsia="el-GR"/>
        </w:rPr>
        <w:t>Πλάτος γηπέδου: 20,00 μ.</w:t>
      </w:r>
    </w:p>
    <w:p w:rsidR="00780B2B" w:rsidRDefault="00780B2B" w:rsidP="00426768">
      <w:pPr>
        <w:pStyle w:val="a3"/>
        <w:numPr>
          <w:ilvl w:val="0"/>
          <w:numId w:val="4"/>
        </w:num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Αποστάσεις κτιρίων από όρια: 5 μ</w:t>
      </w:r>
    </w:p>
    <w:p w:rsidR="00780B2B" w:rsidRDefault="00780B2B" w:rsidP="00426768">
      <w:pPr>
        <w:pStyle w:val="a3"/>
        <w:numPr>
          <w:ilvl w:val="0"/>
          <w:numId w:val="4"/>
        </w:num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Επιτρεπόμενη (σύμφωνα με το Άρθρο 4) κάλυψη: 4.485 Χ 30% = 1.345,50 μ2</w:t>
      </w:r>
    </w:p>
    <w:p w:rsidR="00780B2B" w:rsidRPr="00BD1754" w:rsidRDefault="00780B2B" w:rsidP="00426768">
      <w:pPr>
        <w:pStyle w:val="a3"/>
        <w:numPr>
          <w:ilvl w:val="0"/>
          <w:numId w:val="4"/>
        </w:num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Επιτρεπόμενη (σύμφωνα με το Άρθρο 4) δόμηση: 4.485 Χ 0,9% = 4.036,50 μ2</w:t>
      </w:r>
    </w:p>
    <w:p w:rsidR="00BD1754" w:rsidRPr="00BD1754" w:rsidRDefault="00BD1754" w:rsidP="00426768">
      <w:pPr>
        <w:pStyle w:val="a3"/>
        <w:numPr>
          <w:ilvl w:val="0"/>
          <w:numId w:val="4"/>
        </w:numPr>
        <w:spacing w:after="0" w:line="28" w:lineRule="atLeast"/>
        <w:jc w:val="both"/>
        <w:rPr>
          <w:rFonts w:ascii="Calibri" w:eastAsia="Times New Roman" w:hAnsi="Calibri" w:cs="Courier New"/>
          <w:sz w:val="24"/>
          <w:szCs w:val="24"/>
          <w:lang w:eastAsia="el-GR"/>
        </w:rPr>
      </w:pPr>
      <w:r w:rsidRPr="00BD1754">
        <w:rPr>
          <w:rFonts w:ascii="Calibri" w:eastAsia="Times New Roman" w:hAnsi="Calibri" w:cs="Courier New"/>
          <w:sz w:val="24"/>
          <w:szCs w:val="24"/>
          <w:lang w:eastAsia="el-GR"/>
        </w:rPr>
        <w:t>Έχει κατασκευαστεί συγκρότημα οινοποιείου</w:t>
      </w:r>
      <w:r w:rsidR="00AA60B3">
        <w:rPr>
          <w:rFonts w:ascii="Calibri" w:eastAsia="Times New Roman" w:hAnsi="Calibri" w:cs="Courier New"/>
          <w:sz w:val="24"/>
          <w:szCs w:val="24"/>
          <w:lang w:eastAsia="el-GR"/>
        </w:rPr>
        <w:t xml:space="preserve"> με:</w:t>
      </w:r>
    </w:p>
    <w:p w:rsidR="00BD1754" w:rsidRPr="00BD1754" w:rsidRDefault="00BD1754" w:rsidP="00426768">
      <w:pPr>
        <w:pStyle w:val="a3"/>
        <w:spacing w:after="0" w:line="28" w:lineRule="atLeast"/>
        <w:jc w:val="both"/>
        <w:rPr>
          <w:rFonts w:ascii="Calibri" w:eastAsia="Times New Roman" w:hAnsi="Calibri" w:cs="Courier New"/>
          <w:sz w:val="24"/>
          <w:szCs w:val="24"/>
          <w:lang w:eastAsia="el-GR"/>
        </w:rPr>
      </w:pPr>
      <w:r w:rsidRPr="00BD1754">
        <w:rPr>
          <w:rFonts w:ascii="Calibri" w:eastAsia="Times New Roman" w:hAnsi="Calibri" w:cs="Courier New"/>
          <w:sz w:val="24"/>
          <w:szCs w:val="24"/>
          <w:lang w:eastAsia="el-GR"/>
        </w:rPr>
        <w:t>Κάλυψη 340,00 μ2 (</w:t>
      </w:r>
      <w:r w:rsidR="00AA60B3">
        <w:rPr>
          <w:rFonts w:ascii="Calibri" w:eastAsia="Times New Roman" w:hAnsi="Calibri" w:cs="Courier New"/>
          <w:sz w:val="24"/>
          <w:szCs w:val="24"/>
          <w:lang w:eastAsia="el-GR"/>
        </w:rPr>
        <w:t xml:space="preserve">που αντιστοιχεί στο </w:t>
      </w:r>
      <w:r w:rsidRPr="00BD1754">
        <w:rPr>
          <w:rFonts w:ascii="Calibri" w:eastAsia="Times New Roman" w:hAnsi="Calibri" w:cs="Courier New"/>
          <w:sz w:val="24"/>
          <w:szCs w:val="24"/>
          <w:lang w:eastAsia="el-GR"/>
        </w:rPr>
        <w:t xml:space="preserve">8% </w:t>
      </w:r>
      <w:r w:rsidR="00AA60B3">
        <w:rPr>
          <w:rFonts w:ascii="Calibri" w:eastAsia="Times New Roman" w:hAnsi="Calibri" w:cs="Courier New"/>
          <w:sz w:val="24"/>
          <w:szCs w:val="24"/>
          <w:lang w:eastAsia="el-GR"/>
        </w:rPr>
        <w:t>έναντι επιτρεπόμενης</w:t>
      </w:r>
      <w:r w:rsidRPr="00BD1754">
        <w:rPr>
          <w:rFonts w:ascii="Calibri" w:eastAsia="Times New Roman" w:hAnsi="Calibri" w:cs="Courier New"/>
          <w:sz w:val="24"/>
          <w:szCs w:val="24"/>
          <w:lang w:eastAsia="el-GR"/>
        </w:rPr>
        <w:t xml:space="preserve"> 30%)</w:t>
      </w:r>
    </w:p>
    <w:p w:rsidR="00780B2B" w:rsidRPr="00780B2B" w:rsidRDefault="00BD1754" w:rsidP="00426768">
      <w:pPr>
        <w:pStyle w:val="a3"/>
        <w:spacing w:after="0" w:line="28" w:lineRule="atLeast"/>
        <w:jc w:val="both"/>
        <w:rPr>
          <w:rFonts w:ascii="Calibri" w:eastAsia="Times New Roman" w:hAnsi="Calibri" w:cs="Courier New"/>
          <w:sz w:val="24"/>
          <w:szCs w:val="24"/>
          <w:lang w:eastAsia="el-GR"/>
        </w:rPr>
      </w:pPr>
      <w:r w:rsidRPr="00BD1754">
        <w:rPr>
          <w:rFonts w:ascii="Calibri" w:eastAsia="Times New Roman" w:hAnsi="Calibri" w:cs="Courier New"/>
          <w:sz w:val="24"/>
          <w:szCs w:val="24"/>
          <w:lang w:eastAsia="el-GR"/>
        </w:rPr>
        <w:t>Δόμηση (συνολική επιφάνεια ορόφων): 394,00 μ2 (</w:t>
      </w:r>
      <w:r w:rsidR="00780B2B">
        <w:rPr>
          <w:rFonts w:ascii="Calibri" w:eastAsia="Times New Roman" w:hAnsi="Calibri" w:cs="Courier New"/>
          <w:sz w:val="24"/>
          <w:szCs w:val="24"/>
          <w:lang w:eastAsia="el-GR"/>
        </w:rPr>
        <w:t xml:space="preserve">δηλαδή </w:t>
      </w:r>
      <w:proofErr w:type="spellStart"/>
      <w:r w:rsidRPr="00BD1754">
        <w:rPr>
          <w:rFonts w:ascii="Calibri" w:eastAsia="Times New Roman" w:hAnsi="Calibri" w:cs="Courier New"/>
          <w:sz w:val="24"/>
          <w:szCs w:val="24"/>
          <w:lang w:eastAsia="el-GR"/>
        </w:rPr>
        <w:t>σ.δ</w:t>
      </w:r>
      <w:proofErr w:type="spellEnd"/>
      <w:r w:rsidRPr="00BD1754">
        <w:rPr>
          <w:rFonts w:ascii="Calibri" w:eastAsia="Times New Roman" w:hAnsi="Calibri" w:cs="Courier New"/>
          <w:sz w:val="24"/>
          <w:szCs w:val="24"/>
          <w:lang w:eastAsia="el-GR"/>
        </w:rPr>
        <w:t>: 0,09</w:t>
      </w:r>
      <w:r w:rsidR="00780B2B">
        <w:rPr>
          <w:rFonts w:ascii="Calibri" w:eastAsia="Times New Roman" w:hAnsi="Calibri" w:cs="Courier New"/>
          <w:sz w:val="24"/>
          <w:szCs w:val="24"/>
          <w:lang w:eastAsia="el-GR"/>
        </w:rPr>
        <w:t>, έναντι επιτρεπόμενου</w:t>
      </w:r>
      <w:r w:rsidRPr="00BD1754">
        <w:rPr>
          <w:rFonts w:ascii="Calibri" w:eastAsia="Times New Roman" w:hAnsi="Calibri" w:cs="Courier New"/>
          <w:sz w:val="24"/>
          <w:szCs w:val="24"/>
          <w:lang w:eastAsia="el-GR"/>
        </w:rPr>
        <w:t xml:space="preserve"> 0,9)</w:t>
      </w:r>
    </w:p>
    <w:p w:rsidR="00780B2B" w:rsidRDefault="00780B2B" w:rsidP="00426768">
      <w:pPr>
        <w:pStyle w:val="a3"/>
        <w:numPr>
          <w:ilvl w:val="0"/>
          <w:numId w:val="4"/>
        </w:num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Υπόλοιπη (σύμφωνα με το Άρθρο 4) κάλυψη:   1.345,50 - 340,00 = </w:t>
      </w:r>
      <w:r w:rsidR="00B13921" w:rsidRPr="00B13921">
        <w:rPr>
          <w:rFonts w:ascii="Calibri" w:eastAsia="Times New Roman" w:hAnsi="Calibri" w:cs="Times New Roman"/>
          <w:color w:val="000000"/>
          <w:lang w:eastAsia="el-GR"/>
        </w:rPr>
        <w:t>1</w:t>
      </w:r>
      <w:r w:rsidR="00B13921">
        <w:rPr>
          <w:rFonts w:ascii="Calibri" w:eastAsia="Times New Roman" w:hAnsi="Calibri" w:cs="Times New Roman"/>
          <w:color w:val="000000"/>
          <w:lang w:eastAsia="el-GR"/>
        </w:rPr>
        <w:t>.</w:t>
      </w:r>
      <w:r w:rsidR="00B13921" w:rsidRPr="00B13921">
        <w:rPr>
          <w:rFonts w:ascii="Calibri" w:eastAsia="Times New Roman" w:hAnsi="Calibri" w:cs="Times New Roman"/>
          <w:color w:val="000000"/>
          <w:lang w:eastAsia="el-GR"/>
        </w:rPr>
        <w:t>005,5</w:t>
      </w:r>
      <w:r w:rsidR="00B13921">
        <w:rPr>
          <w:rFonts w:ascii="Calibri" w:eastAsia="Times New Roman" w:hAnsi="Calibri" w:cs="Times New Roman"/>
          <w:color w:val="000000"/>
          <w:lang w:eastAsia="el-GR"/>
        </w:rPr>
        <w:t>0 μ2</w:t>
      </w:r>
    </w:p>
    <w:p w:rsidR="00780B2B" w:rsidRDefault="00780B2B" w:rsidP="00426768">
      <w:pPr>
        <w:pStyle w:val="a3"/>
        <w:numPr>
          <w:ilvl w:val="0"/>
          <w:numId w:val="4"/>
        </w:num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lastRenderedPageBreak/>
        <w:t>Υπόλοιπη (σύμφωνα με το Άρθρο 4) δόμηση:   4.036,50 -</w:t>
      </w:r>
      <w:r w:rsidRPr="00BD1754">
        <w:rPr>
          <w:rFonts w:ascii="Calibri" w:eastAsia="Times New Roman" w:hAnsi="Calibri" w:cs="Courier New"/>
          <w:sz w:val="24"/>
          <w:szCs w:val="24"/>
          <w:lang w:eastAsia="el-GR"/>
        </w:rPr>
        <w:t xml:space="preserve">394,00 </w:t>
      </w:r>
      <w:r>
        <w:rPr>
          <w:rFonts w:ascii="Calibri" w:eastAsia="Times New Roman" w:hAnsi="Calibri" w:cs="Courier New"/>
          <w:sz w:val="24"/>
          <w:szCs w:val="24"/>
          <w:lang w:eastAsia="el-GR"/>
        </w:rPr>
        <w:t xml:space="preserve"> =</w:t>
      </w:r>
      <w:r w:rsidR="00B13921">
        <w:rPr>
          <w:rFonts w:ascii="Calibri" w:eastAsia="Times New Roman" w:hAnsi="Calibri" w:cs="Courier New"/>
          <w:sz w:val="24"/>
          <w:szCs w:val="24"/>
          <w:lang w:eastAsia="el-GR"/>
        </w:rPr>
        <w:t xml:space="preserve">  </w:t>
      </w:r>
      <w:r w:rsidR="00B13921" w:rsidRPr="00B13921">
        <w:rPr>
          <w:rFonts w:ascii="Calibri" w:eastAsia="Times New Roman" w:hAnsi="Calibri" w:cs="Times New Roman"/>
          <w:color w:val="000000"/>
          <w:lang w:eastAsia="el-GR"/>
        </w:rPr>
        <w:t>3</w:t>
      </w:r>
      <w:r w:rsidR="00B13921">
        <w:rPr>
          <w:rFonts w:ascii="Calibri" w:eastAsia="Times New Roman" w:hAnsi="Calibri" w:cs="Times New Roman"/>
          <w:color w:val="000000"/>
          <w:lang w:eastAsia="el-GR"/>
        </w:rPr>
        <w:t>.</w:t>
      </w:r>
      <w:r w:rsidR="00B13921" w:rsidRPr="00B13921">
        <w:rPr>
          <w:rFonts w:ascii="Calibri" w:eastAsia="Times New Roman" w:hAnsi="Calibri" w:cs="Times New Roman"/>
          <w:color w:val="000000"/>
          <w:lang w:eastAsia="el-GR"/>
        </w:rPr>
        <w:t>642,5</w:t>
      </w:r>
      <w:r w:rsidR="00B13921">
        <w:rPr>
          <w:rFonts w:ascii="Calibri" w:eastAsia="Times New Roman" w:hAnsi="Calibri" w:cs="Times New Roman"/>
          <w:color w:val="000000"/>
          <w:lang w:eastAsia="el-GR"/>
        </w:rPr>
        <w:t>0 μ2</w:t>
      </w:r>
    </w:p>
    <w:p w:rsidR="00B13921" w:rsidRDefault="0010536A" w:rsidP="00426768">
      <w:pPr>
        <w:pStyle w:val="a3"/>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B13921">
        <w:rPr>
          <w:rFonts w:ascii="Calibri" w:eastAsia="Times New Roman" w:hAnsi="Calibri" w:cs="Courier New"/>
          <w:sz w:val="24"/>
          <w:szCs w:val="24"/>
          <w:lang w:eastAsia="el-GR"/>
        </w:rPr>
        <w:t xml:space="preserve">Στο οινοποιείο αυτό, που αποτελεί τυπική περίπτωση και μάλιστα σε καλή χωροταξικά και </w:t>
      </w:r>
      <w:proofErr w:type="spellStart"/>
      <w:r w:rsidR="00B13921">
        <w:rPr>
          <w:rFonts w:ascii="Calibri" w:eastAsia="Times New Roman" w:hAnsi="Calibri" w:cs="Courier New"/>
          <w:sz w:val="24"/>
          <w:szCs w:val="24"/>
          <w:lang w:eastAsia="el-GR"/>
        </w:rPr>
        <w:t>προσβάσιμη</w:t>
      </w:r>
      <w:proofErr w:type="spellEnd"/>
      <w:r w:rsidR="00B13921">
        <w:rPr>
          <w:rFonts w:ascii="Calibri" w:eastAsia="Times New Roman" w:hAnsi="Calibri" w:cs="Courier New"/>
          <w:sz w:val="24"/>
          <w:szCs w:val="24"/>
          <w:lang w:eastAsia="el-GR"/>
        </w:rPr>
        <w:t xml:space="preserve"> θέση του αμπελώνα της Νεμέας, δεν είναι δυνατή η δημιουργία </w:t>
      </w:r>
      <w:proofErr w:type="spellStart"/>
      <w:r w:rsidR="00B13921">
        <w:rPr>
          <w:rFonts w:ascii="Calibri" w:eastAsia="Times New Roman" w:hAnsi="Calibri" w:cs="Courier New"/>
          <w:sz w:val="24"/>
          <w:szCs w:val="24"/>
          <w:lang w:eastAsia="el-GR"/>
        </w:rPr>
        <w:t>οινοτουριστικής</w:t>
      </w:r>
      <w:proofErr w:type="spellEnd"/>
      <w:r w:rsidR="00B13921">
        <w:rPr>
          <w:rFonts w:ascii="Calibri" w:eastAsia="Times New Roman" w:hAnsi="Calibri" w:cs="Courier New"/>
          <w:sz w:val="24"/>
          <w:szCs w:val="24"/>
          <w:lang w:eastAsia="el-GR"/>
        </w:rPr>
        <w:t xml:space="preserve"> εγκατάστασης διαμονής (τουριστικών κατοικιών ή ΕΔΔΔ, που αμφότερα κτίζονται με όρους δόμησης κατοικίας) για τους εξής λόγους:</w:t>
      </w:r>
    </w:p>
    <w:p w:rsidR="00780B2B" w:rsidRDefault="00B13921" w:rsidP="00426768">
      <w:pPr>
        <w:pStyle w:val="a3"/>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1) Εάν ζητηθεί πολεοδομική </w:t>
      </w:r>
      <w:proofErr w:type="spellStart"/>
      <w:r>
        <w:rPr>
          <w:rFonts w:ascii="Calibri" w:eastAsia="Times New Roman" w:hAnsi="Calibri" w:cs="Courier New"/>
          <w:sz w:val="24"/>
          <w:szCs w:val="24"/>
          <w:lang w:eastAsia="el-GR"/>
        </w:rPr>
        <w:t>αδειοδότηση</w:t>
      </w:r>
      <w:proofErr w:type="spellEnd"/>
      <w:r>
        <w:rPr>
          <w:rFonts w:ascii="Calibri" w:eastAsia="Times New Roman" w:hAnsi="Calibri" w:cs="Courier New"/>
          <w:sz w:val="24"/>
          <w:szCs w:val="24"/>
          <w:lang w:eastAsia="el-GR"/>
        </w:rPr>
        <w:t xml:space="preserve"> ίδρυσης μη κύριου τουριστικού καταλύματος με το Άρθρο 6 του </w:t>
      </w:r>
      <w:r w:rsidR="00990C20">
        <w:rPr>
          <w:rFonts w:ascii="Calibri" w:eastAsia="Times New Roman" w:hAnsi="Calibri" w:cs="Courier New"/>
          <w:sz w:val="24"/>
          <w:szCs w:val="24"/>
          <w:lang w:eastAsia="el-GR"/>
        </w:rPr>
        <w:t xml:space="preserve">ΠΔ/24-4-85 (όροι δόμησης κατοικίας), επειδή το γήπεδο έχει εμβαδόν </w:t>
      </w:r>
      <w:r w:rsidR="0010536A">
        <w:rPr>
          <w:rFonts w:ascii="Calibri" w:eastAsia="Times New Roman" w:hAnsi="Calibri" w:cs="Courier New"/>
          <w:sz w:val="24"/>
          <w:szCs w:val="24"/>
          <w:lang w:eastAsia="el-GR"/>
        </w:rPr>
        <w:t xml:space="preserve">μεταξύ 4 και 8 στρεμμάτων και </w:t>
      </w:r>
      <w:r w:rsidR="00990C20">
        <w:rPr>
          <w:rFonts w:ascii="Calibri" w:eastAsia="Times New Roman" w:hAnsi="Calibri" w:cs="Courier New"/>
          <w:sz w:val="24"/>
          <w:szCs w:val="24"/>
          <w:lang w:eastAsia="el-GR"/>
        </w:rPr>
        <w:t>τα κτίρια του γηπέδου (υπάρχουσα βιομηχανική εγκατάσταση-οινοποιείο και μελλοντική κατοικία ως κατάλυμα) έχουν μικτή χρήση</w:t>
      </w:r>
      <w:r w:rsidR="0010536A">
        <w:rPr>
          <w:rFonts w:ascii="Calibri" w:eastAsia="Times New Roman" w:hAnsi="Calibri" w:cs="Courier New"/>
          <w:sz w:val="24"/>
          <w:szCs w:val="24"/>
          <w:lang w:eastAsia="el-GR"/>
        </w:rPr>
        <w:t>,</w:t>
      </w:r>
      <w:r w:rsidR="00990C20">
        <w:rPr>
          <w:rFonts w:ascii="Calibri" w:eastAsia="Times New Roman" w:hAnsi="Calibri" w:cs="Courier New"/>
          <w:sz w:val="24"/>
          <w:szCs w:val="24"/>
          <w:lang w:eastAsia="el-GR"/>
        </w:rPr>
        <w:t xml:space="preserve"> η συνολική επιφάνεια των κτιρίων δεν μπορεί να υπερβαίνει τα (200 + 485 Χ 0,02 )= 209,70 μ2 </w:t>
      </w:r>
      <w:r w:rsidR="0010536A">
        <w:rPr>
          <w:rFonts w:ascii="Calibri" w:eastAsia="Times New Roman" w:hAnsi="Calibri" w:cs="Courier New"/>
          <w:sz w:val="24"/>
          <w:szCs w:val="24"/>
          <w:lang w:eastAsia="el-GR"/>
        </w:rPr>
        <w:t>(ενώ η ήδη πραγματοποιημένη συνολική επιφάνεια κτιρίων είναι 340,00 μ2, δηλαδή μεγαλύτερη κατά 130,30 μ2).</w:t>
      </w:r>
    </w:p>
    <w:p w:rsidR="00982017" w:rsidRPr="00453C63" w:rsidRDefault="0010536A" w:rsidP="00453C63">
      <w:pPr>
        <w:pStyle w:val="a3"/>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2) Εάν ζητηθεί πολεοδομική </w:t>
      </w:r>
      <w:proofErr w:type="spellStart"/>
      <w:r>
        <w:rPr>
          <w:rFonts w:ascii="Calibri" w:eastAsia="Times New Roman" w:hAnsi="Calibri" w:cs="Courier New"/>
          <w:sz w:val="24"/>
          <w:szCs w:val="24"/>
          <w:lang w:eastAsia="el-GR"/>
        </w:rPr>
        <w:t>αδειοδότηση</w:t>
      </w:r>
      <w:proofErr w:type="spellEnd"/>
      <w:r>
        <w:rPr>
          <w:rFonts w:ascii="Calibri" w:eastAsia="Times New Roman" w:hAnsi="Calibri" w:cs="Courier New"/>
          <w:sz w:val="24"/>
          <w:szCs w:val="24"/>
          <w:lang w:eastAsia="el-GR"/>
        </w:rPr>
        <w:t xml:space="preserve"> ίδρυσης μη κύριου τουριστικού καταλύματος με το Άρθρο 1 του ΠΔ/24-4-85, η επιτρεπόμενη κάλυψη θα είναι 4.485 μ2 Χ 10% = 448,50 μ2. Επομένως, η απομένουσα κάλυψη (επιτρεπόμενη – πραγματοποιηθείσα)  είναι μόλις </w:t>
      </w:r>
      <w:r w:rsidR="000718AE">
        <w:rPr>
          <w:rFonts w:ascii="Calibri" w:eastAsia="Times New Roman" w:hAnsi="Calibri" w:cs="Courier New"/>
          <w:sz w:val="24"/>
          <w:szCs w:val="24"/>
          <w:lang w:eastAsia="el-GR"/>
        </w:rPr>
        <w:t xml:space="preserve">108,50 μ2 </w:t>
      </w:r>
      <w:r>
        <w:rPr>
          <w:rFonts w:ascii="Calibri" w:eastAsia="Times New Roman" w:hAnsi="Calibri" w:cs="Courier New"/>
          <w:sz w:val="24"/>
          <w:szCs w:val="24"/>
          <w:lang w:eastAsia="el-GR"/>
        </w:rPr>
        <w:t>(</w:t>
      </w:r>
      <w:r w:rsidR="000718AE">
        <w:rPr>
          <w:rFonts w:ascii="Calibri" w:eastAsia="Times New Roman" w:hAnsi="Calibri" w:cs="Courier New"/>
          <w:sz w:val="24"/>
          <w:szCs w:val="24"/>
          <w:lang w:eastAsia="el-GR"/>
        </w:rPr>
        <w:t>= 448,50 μ2 - 340,00 μ2</w:t>
      </w:r>
      <w:r>
        <w:rPr>
          <w:rFonts w:ascii="Calibri" w:eastAsia="Times New Roman" w:hAnsi="Calibri" w:cs="Courier New"/>
          <w:sz w:val="24"/>
          <w:szCs w:val="24"/>
          <w:lang w:eastAsia="el-GR"/>
        </w:rPr>
        <w:t xml:space="preserve">) και δεν επαρκεί </w:t>
      </w:r>
      <w:r w:rsidR="008A2B6F">
        <w:rPr>
          <w:rFonts w:ascii="Calibri" w:eastAsia="Times New Roman" w:hAnsi="Calibri" w:cs="Courier New"/>
          <w:sz w:val="24"/>
          <w:szCs w:val="24"/>
          <w:lang w:eastAsia="el-GR"/>
        </w:rPr>
        <w:t xml:space="preserve">ούτε για </w:t>
      </w:r>
      <w:r w:rsidR="000718AE">
        <w:rPr>
          <w:rFonts w:ascii="Calibri" w:eastAsia="Times New Roman" w:hAnsi="Calibri" w:cs="Courier New"/>
          <w:sz w:val="24"/>
          <w:szCs w:val="24"/>
          <w:lang w:eastAsia="el-GR"/>
        </w:rPr>
        <w:t>6</w:t>
      </w:r>
      <w:r w:rsidR="008A2B6F">
        <w:rPr>
          <w:rFonts w:ascii="Calibri" w:eastAsia="Times New Roman" w:hAnsi="Calibri" w:cs="Courier New"/>
          <w:sz w:val="24"/>
          <w:szCs w:val="24"/>
          <w:lang w:eastAsia="el-GR"/>
        </w:rPr>
        <w:t xml:space="preserve"> άνετα μονόκλινα δωμάτια 3 ή 4 κλειδιών, συνολικής δυναμικότητας </w:t>
      </w:r>
      <w:r w:rsidR="000718AE">
        <w:rPr>
          <w:rFonts w:ascii="Calibri" w:eastAsia="Times New Roman" w:hAnsi="Calibri" w:cs="Courier New"/>
          <w:sz w:val="24"/>
          <w:szCs w:val="24"/>
          <w:lang w:eastAsia="el-GR"/>
        </w:rPr>
        <w:t>μόνο 6</w:t>
      </w:r>
      <w:r w:rsidR="008A2B6F">
        <w:rPr>
          <w:rFonts w:ascii="Calibri" w:eastAsia="Times New Roman" w:hAnsi="Calibri" w:cs="Courier New"/>
          <w:sz w:val="24"/>
          <w:szCs w:val="24"/>
          <w:lang w:eastAsia="el-GR"/>
        </w:rPr>
        <w:t xml:space="preserve"> κλινών (Η ΚΥΑ Αγροτουρισμού θέτει ως κατώτατο όριο κλινών τις 10). Ακόμα όμως και σε αυτή τη μη επιλέξιμη στα Προγράμματα του ΥΠΠΑΤ περίπτωση, η ίδρυση τέτοιου καταλύματος θα ήταν αδύνατη, λόγω του περιορισμού της υποχρεωτικής απόστασης </w:t>
      </w:r>
      <w:r w:rsidR="000718AE">
        <w:rPr>
          <w:rFonts w:ascii="Calibri" w:eastAsia="Times New Roman" w:hAnsi="Calibri" w:cs="Courier New"/>
          <w:sz w:val="24"/>
          <w:szCs w:val="24"/>
          <w:lang w:eastAsia="el-GR"/>
        </w:rPr>
        <w:t xml:space="preserve">15μ </w:t>
      </w:r>
      <w:r w:rsidR="008A2B6F">
        <w:rPr>
          <w:rFonts w:ascii="Calibri" w:eastAsia="Times New Roman" w:hAnsi="Calibri" w:cs="Courier New"/>
          <w:sz w:val="24"/>
          <w:szCs w:val="24"/>
          <w:lang w:eastAsia="el-GR"/>
        </w:rPr>
        <w:t>του κτιρίου από τα όρια (</w:t>
      </w:r>
      <w:r w:rsidR="000718AE">
        <w:rPr>
          <w:rFonts w:ascii="Calibri" w:eastAsia="Times New Roman" w:hAnsi="Calibri" w:cs="Courier New"/>
          <w:sz w:val="24"/>
          <w:szCs w:val="24"/>
          <w:lang w:eastAsia="el-GR"/>
        </w:rPr>
        <w:t>συνολική απόσταση από τα πλάγια όρα:2Χ</w:t>
      </w:r>
      <w:r w:rsidR="008A2B6F">
        <w:rPr>
          <w:rFonts w:ascii="Calibri" w:eastAsia="Times New Roman" w:hAnsi="Calibri" w:cs="Courier New"/>
          <w:sz w:val="24"/>
          <w:szCs w:val="24"/>
          <w:lang w:eastAsia="el-GR"/>
        </w:rPr>
        <w:t>15μ</w:t>
      </w:r>
      <w:r w:rsidR="000718AE">
        <w:rPr>
          <w:rFonts w:ascii="Calibri" w:eastAsia="Times New Roman" w:hAnsi="Calibri" w:cs="Courier New"/>
          <w:sz w:val="24"/>
          <w:szCs w:val="24"/>
          <w:lang w:eastAsia="el-GR"/>
        </w:rPr>
        <w:t xml:space="preserve"> = 30μ, μεγαλύτερη του πλάτους 20μ του γηπέδου)</w:t>
      </w:r>
      <w:r w:rsidR="008A2B6F">
        <w:rPr>
          <w:rFonts w:ascii="Calibri" w:eastAsia="Times New Roman" w:hAnsi="Calibri" w:cs="Courier New"/>
          <w:sz w:val="24"/>
          <w:szCs w:val="24"/>
          <w:lang w:eastAsia="el-GR"/>
        </w:rPr>
        <w:t xml:space="preserve">.  </w:t>
      </w:r>
    </w:p>
    <w:p w:rsidR="00C229E3" w:rsidRDefault="00C229E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Αντιθέτως:</w:t>
      </w:r>
    </w:p>
    <w:p w:rsidR="00C229E3" w:rsidRDefault="00BC59B1"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Εάν οι </w:t>
      </w:r>
      <w:proofErr w:type="spellStart"/>
      <w:r>
        <w:rPr>
          <w:rFonts w:ascii="Calibri" w:eastAsia="Times New Roman" w:hAnsi="Calibri" w:cs="Courier New"/>
          <w:sz w:val="24"/>
          <w:szCs w:val="24"/>
          <w:lang w:eastAsia="el-GR"/>
        </w:rPr>
        <w:t>οινοτουριστικές</w:t>
      </w:r>
      <w:proofErr w:type="spellEnd"/>
      <w:r>
        <w:rPr>
          <w:rFonts w:ascii="Calibri" w:eastAsia="Times New Roman" w:hAnsi="Calibri" w:cs="Courier New"/>
          <w:sz w:val="24"/>
          <w:szCs w:val="24"/>
          <w:lang w:eastAsia="el-GR"/>
        </w:rPr>
        <w:t xml:space="preserve"> εγκαταστάσεις ενταχθούν λειτουργικά στο βιομηχανικό συγκρότημα και εφαρμοσθούν οι όροι δόμησης του Άρθρου 4, με τους οποίους κτίστηκε το οινοποιείο και μάλιστα μ3 επιτρεπτή απόσταση από τα όρια τα 5μ,θα μπορούσε </w:t>
      </w:r>
      <w:r w:rsidR="00C229E3">
        <w:rPr>
          <w:rFonts w:ascii="Calibri" w:eastAsia="Times New Roman" w:hAnsi="Calibri" w:cs="Courier New"/>
          <w:sz w:val="24"/>
          <w:szCs w:val="24"/>
          <w:lang w:eastAsia="el-GR"/>
        </w:rPr>
        <w:t>να κατασκευαστεί (για παράδειγμα) μη κύριο κατάλυμα με τα εξής χαρακτηριστικά:</w:t>
      </w:r>
    </w:p>
    <w:p w:rsidR="00465644" w:rsidRDefault="00C229E3" w:rsidP="00426768">
      <w:pPr>
        <w:spacing w:after="0" w:line="28" w:lineRule="atLeast"/>
        <w:jc w:val="both"/>
        <w:rPr>
          <w:rFonts w:ascii="Calibri" w:eastAsia="Times New Roman" w:hAnsi="Calibri" w:cs="Courier New"/>
          <w:sz w:val="24"/>
          <w:szCs w:val="24"/>
          <w:lang w:eastAsia="el-GR"/>
        </w:rPr>
      </w:pPr>
      <w:proofErr w:type="spellStart"/>
      <w:r>
        <w:rPr>
          <w:rFonts w:ascii="Calibri" w:eastAsia="Times New Roman" w:hAnsi="Calibri" w:cs="Courier New"/>
          <w:sz w:val="24"/>
          <w:szCs w:val="24"/>
          <w:lang w:eastAsia="el-GR"/>
        </w:rPr>
        <w:t>Διόροφο</w:t>
      </w:r>
      <w:proofErr w:type="spellEnd"/>
      <w:r>
        <w:rPr>
          <w:rFonts w:ascii="Calibri" w:eastAsia="Times New Roman" w:hAnsi="Calibri" w:cs="Courier New"/>
          <w:sz w:val="24"/>
          <w:szCs w:val="24"/>
          <w:lang w:eastAsia="el-GR"/>
        </w:rPr>
        <w:t xml:space="preserve"> κτί</w:t>
      </w:r>
      <w:r w:rsidR="005C7420">
        <w:rPr>
          <w:rFonts w:ascii="Calibri" w:eastAsia="Times New Roman" w:hAnsi="Calibri" w:cs="Courier New"/>
          <w:sz w:val="24"/>
          <w:szCs w:val="24"/>
          <w:lang w:eastAsia="el-GR"/>
        </w:rPr>
        <w:t xml:space="preserve">ριο </w:t>
      </w:r>
      <w:r w:rsidR="00BC59B1">
        <w:rPr>
          <w:rFonts w:ascii="Calibri" w:eastAsia="Times New Roman" w:hAnsi="Calibri" w:cs="Courier New"/>
          <w:sz w:val="24"/>
          <w:szCs w:val="24"/>
          <w:lang w:eastAsia="el-GR"/>
        </w:rPr>
        <w:t xml:space="preserve">επαρκούς </w:t>
      </w:r>
      <w:r w:rsidR="005C7420">
        <w:rPr>
          <w:rFonts w:ascii="Calibri" w:eastAsia="Times New Roman" w:hAnsi="Calibri" w:cs="Courier New"/>
          <w:sz w:val="24"/>
          <w:szCs w:val="24"/>
          <w:lang w:eastAsia="el-GR"/>
        </w:rPr>
        <w:t>π</w:t>
      </w:r>
      <w:r>
        <w:rPr>
          <w:rFonts w:ascii="Calibri" w:eastAsia="Times New Roman" w:hAnsi="Calibri" w:cs="Courier New"/>
          <w:sz w:val="24"/>
          <w:szCs w:val="24"/>
          <w:lang w:eastAsia="el-GR"/>
        </w:rPr>
        <w:t>λάτο</w:t>
      </w:r>
      <w:r w:rsidR="005C7420">
        <w:rPr>
          <w:rFonts w:ascii="Calibri" w:eastAsia="Times New Roman" w:hAnsi="Calibri" w:cs="Courier New"/>
          <w:sz w:val="24"/>
          <w:szCs w:val="24"/>
          <w:lang w:eastAsia="el-GR"/>
        </w:rPr>
        <w:t>υς</w:t>
      </w:r>
      <w:r>
        <w:rPr>
          <w:rFonts w:ascii="Calibri" w:eastAsia="Times New Roman" w:hAnsi="Calibri" w:cs="Courier New"/>
          <w:sz w:val="24"/>
          <w:szCs w:val="24"/>
          <w:lang w:eastAsia="el-GR"/>
        </w:rPr>
        <w:t xml:space="preserve"> 9 – 9,5 μ</w:t>
      </w:r>
      <w:r w:rsidR="005C7420">
        <w:rPr>
          <w:rFonts w:ascii="Calibri" w:eastAsia="Times New Roman" w:hAnsi="Calibri" w:cs="Courier New"/>
          <w:sz w:val="24"/>
          <w:szCs w:val="24"/>
          <w:lang w:eastAsia="el-GR"/>
        </w:rPr>
        <w:t xml:space="preserve">, με </w:t>
      </w:r>
      <w:r w:rsidR="00465644">
        <w:rPr>
          <w:rFonts w:ascii="Calibri" w:eastAsia="Times New Roman" w:hAnsi="Calibri" w:cs="Courier New"/>
          <w:sz w:val="24"/>
          <w:szCs w:val="24"/>
          <w:lang w:eastAsia="el-GR"/>
        </w:rPr>
        <w:t>εμβαδ</w:t>
      </w:r>
      <w:r w:rsidR="005C7420">
        <w:rPr>
          <w:rFonts w:ascii="Calibri" w:eastAsia="Times New Roman" w:hAnsi="Calibri" w:cs="Courier New"/>
          <w:sz w:val="24"/>
          <w:szCs w:val="24"/>
          <w:lang w:eastAsia="el-GR"/>
        </w:rPr>
        <w:t>όν</w:t>
      </w:r>
      <w:r w:rsidR="00465644">
        <w:rPr>
          <w:rFonts w:ascii="Calibri" w:eastAsia="Times New Roman" w:hAnsi="Calibri" w:cs="Courier New"/>
          <w:sz w:val="24"/>
          <w:szCs w:val="24"/>
          <w:lang w:eastAsia="el-GR"/>
        </w:rPr>
        <w:t xml:space="preserve"> κάτοψης τουλάχιστον 150,00 μ2 και συνολική επιφάνεια ορόφων τουλάχιστον 300,00 μ2, στο οποίο </w:t>
      </w:r>
      <w:r w:rsidR="00BC59B1">
        <w:rPr>
          <w:rFonts w:ascii="Calibri" w:eastAsia="Times New Roman" w:hAnsi="Calibri" w:cs="Courier New"/>
          <w:sz w:val="24"/>
          <w:szCs w:val="24"/>
          <w:lang w:eastAsia="el-GR"/>
        </w:rPr>
        <w:t>χωρούν</w:t>
      </w:r>
      <w:r w:rsidR="00465644">
        <w:rPr>
          <w:rFonts w:ascii="Calibri" w:eastAsia="Times New Roman" w:hAnsi="Calibri" w:cs="Courier New"/>
          <w:sz w:val="24"/>
          <w:szCs w:val="24"/>
          <w:lang w:eastAsia="el-GR"/>
        </w:rPr>
        <w:t xml:space="preserve"> αίθουσα υποδοχής και 5-6 ΕΕΔΔ</w:t>
      </w:r>
      <w:r w:rsidR="005C7420">
        <w:rPr>
          <w:rFonts w:ascii="Calibri" w:eastAsia="Times New Roman" w:hAnsi="Calibri" w:cs="Courier New"/>
          <w:sz w:val="24"/>
          <w:szCs w:val="24"/>
          <w:lang w:eastAsia="el-GR"/>
        </w:rPr>
        <w:t xml:space="preserve"> τεσσάρων κλειδιών</w:t>
      </w:r>
      <w:r w:rsidR="00465644">
        <w:rPr>
          <w:rFonts w:ascii="Calibri" w:eastAsia="Times New Roman" w:hAnsi="Calibri" w:cs="Courier New"/>
          <w:sz w:val="24"/>
          <w:szCs w:val="24"/>
          <w:lang w:eastAsia="el-GR"/>
        </w:rPr>
        <w:t>, συνολικής δυναμικότητας 1</w:t>
      </w:r>
      <w:r w:rsidR="006858FF">
        <w:rPr>
          <w:rFonts w:ascii="Calibri" w:eastAsia="Times New Roman" w:hAnsi="Calibri" w:cs="Courier New"/>
          <w:sz w:val="24"/>
          <w:szCs w:val="24"/>
          <w:lang w:eastAsia="el-GR"/>
        </w:rPr>
        <w:t>4-16</w:t>
      </w:r>
      <w:r w:rsidR="00465644">
        <w:rPr>
          <w:rFonts w:ascii="Calibri" w:eastAsia="Times New Roman" w:hAnsi="Calibri" w:cs="Courier New"/>
          <w:sz w:val="24"/>
          <w:szCs w:val="24"/>
          <w:lang w:eastAsia="el-GR"/>
        </w:rPr>
        <w:t xml:space="preserve"> τουλάχιστον κλινών.</w:t>
      </w:r>
    </w:p>
    <w:p w:rsidR="00465644" w:rsidRDefault="00465644"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Το κτίριο </w:t>
      </w:r>
      <w:r w:rsidR="005C7420">
        <w:rPr>
          <w:rFonts w:ascii="Calibri" w:eastAsia="Times New Roman" w:hAnsi="Calibri" w:cs="Courier New"/>
          <w:sz w:val="24"/>
          <w:szCs w:val="24"/>
          <w:lang w:eastAsia="el-GR"/>
        </w:rPr>
        <w:t xml:space="preserve">αυτό </w:t>
      </w:r>
      <w:r w:rsidR="00BC59B1">
        <w:rPr>
          <w:rFonts w:ascii="Calibri" w:eastAsia="Times New Roman" w:hAnsi="Calibri" w:cs="Courier New"/>
          <w:sz w:val="24"/>
          <w:szCs w:val="24"/>
          <w:lang w:eastAsia="el-GR"/>
        </w:rPr>
        <w:t>θα μπορούσε</w:t>
      </w:r>
      <w:r>
        <w:rPr>
          <w:rFonts w:ascii="Calibri" w:eastAsia="Times New Roman" w:hAnsi="Calibri" w:cs="Courier New"/>
          <w:sz w:val="24"/>
          <w:szCs w:val="24"/>
          <w:lang w:eastAsia="el-GR"/>
        </w:rPr>
        <w:t xml:space="preserve"> να </w:t>
      </w:r>
      <w:r w:rsidR="005C7420">
        <w:rPr>
          <w:rFonts w:ascii="Calibri" w:eastAsia="Times New Roman" w:hAnsi="Calibri" w:cs="Courier New"/>
          <w:sz w:val="24"/>
          <w:szCs w:val="24"/>
          <w:lang w:eastAsia="el-GR"/>
        </w:rPr>
        <w:t>επεκταθεί</w:t>
      </w:r>
      <w:r>
        <w:rPr>
          <w:rFonts w:ascii="Calibri" w:eastAsia="Times New Roman" w:hAnsi="Calibri" w:cs="Courier New"/>
          <w:sz w:val="24"/>
          <w:szCs w:val="24"/>
          <w:lang w:eastAsia="el-GR"/>
        </w:rPr>
        <w:t xml:space="preserve"> ανάλογα, σε περίπτωση προσθήκης χώρου εστίασης</w:t>
      </w:r>
      <w:r w:rsidR="005C7420">
        <w:rPr>
          <w:rFonts w:ascii="Calibri" w:eastAsia="Times New Roman" w:hAnsi="Calibri" w:cs="Courier New"/>
          <w:sz w:val="24"/>
          <w:szCs w:val="24"/>
          <w:lang w:eastAsia="el-GR"/>
        </w:rPr>
        <w:t xml:space="preserve"> – αναψυχής - γευσιγνωσίας</w:t>
      </w:r>
      <w:r>
        <w:rPr>
          <w:rFonts w:ascii="Calibri" w:eastAsia="Times New Roman" w:hAnsi="Calibri" w:cs="Courier New"/>
          <w:sz w:val="24"/>
          <w:szCs w:val="24"/>
          <w:lang w:eastAsia="el-GR"/>
        </w:rPr>
        <w:t xml:space="preserve"> (πχ 100 μ2</w:t>
      </w:r>
      <w:r w:rsidR="005C7420">
        <w:rPr>
          <w:rFonts w:ascii="Calibri" w:eastAsia="Times New Roman" w:hAnsi="Calibri" w:cs="Courier New"/>
          <w:sz w:val="24"/>
          <w:szCs w:val="24"/>
          <w:lang w:eastAsia="el-GR"/>
        </w:rPr>
        <w:t xml:space="preserve"> στο ισόγειο</w:t>
      </w:r>
      <w:r w:rsidR="00BC59B1">
        <w:rPr>
          <w:rFonts w:ascii="Calibri" w:eastAsia="Times New Roman" w:hAnsi="Calibri" w:cs="Courier New"/>
          <w:sz w:val="24"/>
          <w:szCs w:val="24"/>
          <w:lang w:eastAsia="el-GR"/>
        </w:rPr>
        <w:t>0</w:t>
      </w:r>
      <w:r w:rsidR="000767AB">
        <w:rPr>
          <w:rFonts w:ascii="Calibri" w:eastAsia="Times New Roman" w:hAnsi="Calibri" w:cs="Courier New"/>
          <w:sz w:val="24"/>
          <w:szCs w:val="24"/>
          <w:lang w:eastAsia="el-GR"/>
        </w:rPr>
        <w:t>.</w:t>
      </w:r>
    </w:p>
    <w:p w:rsidR="005C7420" w:rsidRDefault="005C742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Τα στοιχεία δόμησης του γηπέδου του παραδείγματος, μετά τη δημιουργία της </w:t>
      </w:r>
      <w:r w:rsidR="00453C63">
        <w:rPr>
          <w:rFonts w:ascii="Calibri" w:eastAsia="Times New Roman" w:hAnsi="Calibri" w:cs="Courier New"/>
          <w:sz w:val="24"/>
          <w:szCs w:val="24"/>
          <w:lang w:eastAsia="el-GR"/>
        </w:rPr>
        <w:t xml:space="preserve">ανωτέρω (ενδεικτικής αλλά επαρκούς) </w:t>
      </w:r>
      <w:proofErr w:type="spellStart"/>
      <w:r>
        <w:rPr>
          <w:rFonts w:ascii="Calibri" w:eastAsia="Times New Roman" w:hAnsi="Calibri" w:cs="Courier New"/>
          <w:sz w:val="24"/>
          <w:szCs w:val="24"/>
          <w:lang w:eastAsia="el-GR"/>
        </w:rPr>
        <w:t>οινοτουριστικής</w:t>
      </w:r>
      <w:proofErr w:type="spellEnd"/>
      <w:r>
        <w:rPr>
          <w:rFonts w:ascii="Calibri" w:eastAsia="Times New Roman" w:hAnsi="Calibri" w:cs="Courier New"/>
          <w:sz w:val="24"/>
          <w:szCs w:val="24"/>
          <w:lang w:eastAsia="el-GR"/>
        </w:rPr>
        <w:t xml:space="preserve"> εγκατάστασης, θα διαμορφωθούν ως εξής:</w:t>
      </w:r>
    </w:p>
    <w:p w:rsidR="005C7420" w:rsidRDefault="005C742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α) Κάλυψη : Οινοποιείο 340,00 μ2 + ΕΕΔΔ 150,00 μ2 + χώρος εστίασης 100 μ2 = 590,00μ2 </w:t>
      </w:r>
    </w:p>
    <w:p w:rsidR="00453C63" w:rsidRDefault="005C742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Η πραγματοποιούμενη </w:t>
      </w:r>
      <w:r w:rsidR="00453C63">
        <w:rPr>
          <w:rFonts w:ascii="Calibri" w:eastAsia="Times New Roman" w:hAnsi="Calibri" w:cs="Courier New"/>
          <w:sz w:val="24"/>
          <w:szCs w:val="24"/>
          <w:lang w:eastAsia="el-GR"/>
        </w:rPr>
        <w:t xml:space="preserve">αυτή </w:t>
      </w:r>
      <w:r>
        <w:rPr>
          <w:rFonts w:ascii="Calibri" w:eastAsia="Times New Roman" w:hAnsi="Calibri" w:cs="Courier New"/>
          <w:sz w:val="24"/>
          <w:szCs w:val="24"/>
          <w:lang w:eastAsia="el-GR"/>
        </w:rPr>
        <w:t xml:space="preserve">κάλυψη αντιστοιχεί σε ποσοστό μόλις 13,15% του </w:t>
      </w:r>
    </w:p>
    <w:p w:rsidR="005C7420" w:rsidRDefault="00453C6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εμβαδού του </w:t>
      </w:r>
      <w:r w:rsidR="005C7420">
        <w:rPr>
          <w:rFonts w:ascii="Calibri" w:eastAsia="Times New Roman" w:hAnsi="Calibri" w:cs="Courier New"/>
          <w:sz w:val="24"/>
          <w:szCs w:val="24"/>
          <w:lang w:eastAsia="el-GR"/>
        </w:rPr>
        <w:t>γηπέδου</w:t>
      </w:r>
      <w:r>
        <w:rPr>
          <w:rFonts w:ascii="Calibri" w:eastAsia="Times New Roman" w:hAnsi="Calibri" w:cs="Courier New"/>
          <w:sz w:val="24"/>
          <w:szCs w:val="24"/>
          <w:lang w:eastAsia="el-GR"/>
        </w:rPr>
        <w:t xml:space="preserve"> και υπολείπεται κατά πολύ της επιτρεπόμενης κάλυψης 30%</w:t>
      </w:r>
    </w:p>
    <w:p w:rsidR="005C7420" w:rsidRDefault="005C742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β) Δόμηση (Συνολική επιφάνεια ορόφων)</w:t>
      </w:r>
    </w:p>
    <w:p w:rsidR="005C7420" w:rsidRDefault="005C742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Οινοποιείο 394,00 μ2 + ΕΕΔΔ 300,00 μ2 + χώρος εστίασης 100 μ2 = </w:t>
      </w:r>
      <w:r w:rsidR="00BC59B1">
        <w:rPr>
          <w:rFonts w:ascii="Calibri" w:eastAsia="Times New Roman" w:hAnsi="Calibri" w:cs="Courier New"/>
          <w:sz w:val="24"/>
          <w:szCs w:val="24"/>
          <w:lang w:eastAsia="el-GR"/>
        </w:rPr>
        <w:t>794</w:t>
      </w:r>
      <w:r>
        <w:rPr>
          <w:rFonts w:ascii="Calibri" w:eastAsia="Times New Roman" w:hAnsi="Calibri" w:cs="Courier New"/>
          <w:sz w:val="24"/>
          <w:szCs w:val="24"/>
          <w:lang w:eastAsia="el-GR"/>
        </w:rPr>
        <w:t>,00μ2</w:t>
      </w:r>
    </w:p>
    <w:p w:rsidR="00BC59B1" w:rsidRDefault="00BC59B1"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Πραγματοποιούμενος </w:t>
      </w:r>
      <w:proofErr w:type="spellStart"/>
      <w:r>
        <w:rPr>
          <w:rFonts w:ascii="Calibri" w:eastAsia="Times New Roman" w:hAnsi="Calibri" w:cs="Courier New"/>
          <w:sz w:val="24"/>
          <w:szCs w:val="24"/>
          <w:lang w:eastAsia="el-GR"/>
        </w:rPr>
        <w:t>σ.δ</w:t>
      </w:r>
      <w:proofErr w:type="spellEnd"/>
      <w:r>
        <w:rPr>
          <w:rFonts w:ascii="Calibri" w:eastAsia="Times New Roman" w:hAnsi="Calibri" w:cs="Courier New"/>
          <w:sz w:val="24"/>
          <w:szCs w:val="24"/>
          <w:lang w:eastAsia="el-GR"/>
        </w:rPr>
        <w:t>: 0,18% (</w:t>
      </w:r>
      <w:r w:rsidR="00453C63">
        <w:rPr>
          <w:rFonts w:ascii="Calibri" w:eastAsia="Times New Roman" w:hAnsi="Calibri" w:cs="Courier New"/>
          <w:sz w:val="24"/>
          <w:szCs w:val="24"/>
          <w:lang w:eastAsia="el-GR"/>
        </w:rPr>
        <w:t xml:space="preserve">υπολείπεται κατά πολύ του επιτρεπόμενου για βιομηχανικές εγκαταστάσεις </w:t>
      </w:r>
      <w:proofErr w:type="spellStart"/>
      <w:r w:rsidR="00453C63">
        <w:rPr>
          <w:rFonts w:ascii="Calibri" w:eastAsia="Times New Roman" w:hAnsi="Calibri" w:cs="Courier New"/>
          <w:sz w:val="24"/>
          <w:szCs w:val="24"/>
          <w:lang w:eastAsia="el-GR"/>
        </w:rPr>
        <w:t>σ.δ</w:t>
      </w:r>
      <w:proofErr w:type="spellEnd"/>
      <w:r w:rsidR="00453C63">
        <w:rPr>
          <w:rFonts w:ascii="Calibri" w:eastAsia="Times New Roman" w:hAnsi="Calibri" w:cs="Courier New"/>
          <w:sz w:val="24"/>
          <w:szCs w:val="24"/>
          <w:lang w:eastAsia="el-GR"/>
        </w:rPr>
        <w:t xml:space="preserve">. 0,9 και είναι </w:t>
      </w:r>
      <w:r>
        <w:rPr>
          <w:rFonts w:ascii="Calibri" w:eastAsia="Times New Roman" w:hAnsi="Calibri" w:cs="Courier New"/>
          <w:sz w:val="24"/>
          <w:szCs w:val="24"/>
          <w:lang w:eastAsia="el-GR"/>
        </w:rPr>
        <w:t xml:space="preserve">μικρότερος </w:t>
      </w:r>
      <w:r w:rsidR="00453C63">
        <w:rPr>
          <w:rFonts w:ascii="Calibri" w:eastAsia="Times New Roman" w:hAnsi="Calibri" w:cs="Courier New"/>
          <w:sz w:val="24"/>
          <w:szCs w:val="24"/>
          <w:lang w:eastAsia="el-GR"/>
        </w:rPr>
        <w:t xml:space="preserve">ακόμα </w:t>
      </w:r>
      <w:r>
        <w:rPr>
          <w:rFonts w:ascii="Calibri" w:eastAsia="Times New Roman" w:hAnsi="Calibri" w:cs="Courier New"/>
          <w:sz w:val="24"/>
          <w:szCs w:val="24"/>
          <w:lang w:eastAsia="el-GR"/>
        </w:rPr>
        <w:t xml:space="preserve">του </w:t>
      </w:r>
      <w:proofErr w:type="spellStart"/>
      <w:r>
        <w:rPr>
          <w:rFonts w:ascii="Calibri" w:eastAsia="Times New Roman" w:hAnsi="Calibri" w:cs="Courier New"/>
          <w:sz w:val="24"/>
          <w:szCs w:val="24"/>
          <w:lang w:eastAsia="el-GR"/>
        </w:rPr>
        <w:t>σ.δ</w:t>
      </w:r>
      <w:proofErr w:type="spellEnd"/>
      <w:r>
        <w:rPr>
          <w:rFonts w:ascii="Calibri" w:eastAsia="Times New Roman" w:hAnsi="Calibri" w:cs="Courier New"/>
          <w:sz w:val="24"/>
          <w:szCs w:val="24"/>
          <w:lang w:eastAsia="el-GR"/>
        </w:rPr>
        <w:t xml:space="preserve">. του </w:t>
      </w:r>
      <w:r w:rsidR="00453C63">
        <w:rPr>
          <w:rFonts w:ascii="Calibri" w:eastAsia="Times New Roman" w:hAnsi="Calibri" w:cs="Courier New"/>
          <w:sz w:val="24"/>
          <w:szCs w:val="24"/>
          <w:lang w:eastAsia="el-GR"/>
        </w:rPr>
        <w:t xml:space="preserve">γενικού </w:t>
      </w:r>
      <w:r>
        <w:rPr>
          <w:rFonts w:ascii="Calibri" w:eastAsia="Times New Roman" w:hAnsi="Calibri" w:cs="Courier New"/>
          <w:sz w:val="24"/>
          <w:szCs w:val="24"/>
          <w:lang w:eastAsia="el-GR"/>
        </w:rPr>
        <w:t xml:space="preserve">Άρθρου 1 </w:t>
      </w:r>
      <w:r w:rsidR="00453C63">
        <w:rPr>
          <w:rFonts w:ascii="Calibri" w:eastAsia="Times New Roman" w:hAnsi="Calibri" w:cs="Courier New"/>
          <w:sz w:val="24"/>
          <w:szCs w:val="24"/>
          <w:lang w:eastAsia="el-GR"/>
        </w:rPr>
        <w:t>(δηλ. του</w:t>
      </w:r>
      <w:r>
        <w:rPr>
          <w:rFonts w:ascii="Calibri" w:eastAsia="Times New Roman" w:hAnsi="Calibri" w:cs="Courier New"/>
          <w:sz w:val="24"/>
          <w:szCs w:val="24"/>
          <w:lang w:eastAsia="el-GR"/>
        </w:rPr>
        <w:t xml:space="preserve"> 0,2).</w:t>
      </w:r>
    </w:p>
    <w:p w:rsidR="00453C63" w:rsidRDefault="00453C63"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lastRenderedPageBreak/>
        <w:t xml:space="preserve">γ) Ομοίως και ο πραγματοποιούμενος συντελεστής της κατ’ </w:t>
      </w:r>
      <w:proofErr w:type="spellStart"/>
      <w:r>
        <w:rPr>
          <w:rFonts w:ascii="Calibri" w:eastAsia="Times New Roman" w:hAnsi="Calibri" w:cs="Courier New"/>
          <w:sz w:val="24"/>
          <w:szCs w:val="24"/>
          <w:lang w:eastAsia="el-GR"/>
        </w:rPr>
        <w:t>όγκον</w:t>
      </w:r>
      <w:proofErr w:type="spellEnd"/>
      <w:r>
        <w:rPr>
          <w:rFonts w:ascii="Calibri" w:eastAsia="Times New Roman" w:hAnsi="Calibri" w:cs="Courier New"/>
          <w:sz w:val="24"/>
          <w:szCs w:val="24"/>
          <w:lang w:eastAsia="el-GR"/>
        </w:rPr>
        <w:t xml:space="preserve"> εκμετάλλευσης υπολείπεται κατά πολύ του προβλεπόμενου 3,3 και δεν υπάρχει λόγος εξάντλησης του ανώτατου αριθμού ορόφων (3) καθώς και του μέγιστου επιτρεπόμενου, για βιομηχανικ</w:t>
      </w:r>
      <w:r w:rsidR="00792170">
        <w:rPr>
          <w:rFonts w:ascii="Calibri" w:eastAsia="Times New Roman" w:hAnsi="Calibri" w:cs="Courier New"/>
          <w:sz w:val="24"/>
          <w:szCs w:val="24"/>
          <w:lang w:eastAsia="el-GR"/>
        </w:rPr>
        <w:t>ές εγκαταστάσεις, ύψους των 10μ.</w:t>
      </w:r>
    </w:p>
    <w:p w:rsidR="005C7420" w:rsidRDefault="005C7420" w:rsidP="00426768">
      <w:pPr>
        <w:spacing w:after="0" w:line="28" w:lineRule="atLeast"/>
        <w:jc w:val="both"/>
        <w:rPr>
          <w:rFonts w:ascii="Calibri" w:eastAsia="Times New Roman" w:hAnsi="Calibri" w:cs="Courier New"/>
          <w:sz w:val="24"/>
          <w:szCs w:val="24"/>
          <w:lang w:eastAsia="el-GR"/>
        </w:rPr>
      </w:pPr>
    </w:p>
    <w:p w:rsidR="005C7420" w:rsidRPr="00AE5C4D" w:rsidRDefault="00453C63" w:rsidP="00426768">
      <w:pPr>
        <w:spacing w:after="0" w:line="28" w:lineRule="atLeast"/>
        <w:jc w:val="both"/>
        <w:rPr>
          <w:rFonts w:ascii="Calibri" w:eastAsia="Times New Roman" w:hAnsi="Calibri" w:cs="Courier New"/>
          <w:b/>
          <w:sz w:val="24"/>
          <w:szCs w:val="24"/>
          <w:lang w:eastAsia="el-GR"/>
        </w:rPr>
      </w:pPr>
      <w:r w:rsidRPr="00AE5C4D">
        <w:rPr>
          <w:rFonts w:ascii="Calibri" w:eastAsia="Times New Roman" w:hAnsi="Calibri" w:cs="Courier New"/>
          <w:b/>
          <w:sz w:val="24"/>
          <w:szCs w:val="24"/>
          <w:lang w:eastAsia="el-GR"/>
        </w:rPr>
        <w:t>ΣΥΜΠΕΡΑΣΜΑ – ΠΡΟΤΑΣΗ:</w:t>
      </w:r>
    </w:p>
    <w:p w:rsidR="00423C26" w:rsidRDefault="00792170" w:rsidP="00426768">
      <w:pPr>
        <w:spacing w:after="0" w:line="28" w:lineRule="atLeast"/>
        <w:jc w:val="both"/>
        <w:rPr>
          <w:rFonts w:ascii="Calibri" w:eastAsia="Times New Roman" w:hAnsi="Calibri" w:cs="Courier New"/>
          <w:sz w:val="24"/>
          <w:szCs w:val="24"/>
          <w:lang w:eastAsia="el-GR"/>
        </w:rPr>
      </w:pPr>
      <w:r>
        <w:rPr>
          <w:rFonts w:ascii="Calibri" w:eastAsia="Times New Roman" w:hAnsi="Calibri" w:cs="Courier New"/>
          <w:sz w:val="24"/>
          <w:szCs w:val="24"/>
          <w:lang w:eastAsia="el-GR"/>
        </w:rPr>
        <w:t xml:space="preserve">      </w:t>
      </w:r>
      <w:r w:rsidR="00423C26">
        <w:rPr>
          <w:rFonts w:ascii="Calibri" w:eastAsia="Times New Roman" w:hAnsi="Calibri" w:cs="Courier New"/>
          <w:sz w:val="24"/>
          <w:szCs w:val="24"/>
          <w:lang w:eastAsia="el-GR"/>
        </w:rPr>
        <w:t>Από τα ανωτέρω γίνεται φανερό ότι</w:t>
      </w:r>
      <w:r w:rsidR="00AE5C4D">
        <w:rPr>
          <w:rFonts w:ascii="Calibri" w:eastAsia="Times New Roman" w:hAnsi="Calibri" w:cs="Courier New"/>
          <w:sz w:val="24"/>
          <w:szCs w:val="24"/>
          <w:lang w:eastAsia="el-GR"/>
        </w:rPr>
        <w:t xml:space="preserve"> θα πρέπει να </w:t>
      </w:r>
      <w:r w:rsidR="00646AF5">
        <w:rPr>
          <w:rFonts w:ascii="Calibri" w:eastAsia="Times New Roman" w:hAnsi="Calibri" w:cs="Courier New"/>
          <w:sz w:val="24"/>
          <w:szCs w:val="24"/>
          <w:lang w:eastAsia="el-GR"/>
        </w:rPr>
        <w:t xml:space="preserve">ερμηνευτεί επαρκώς και να </w:t>
      </w:r>
      <w:r w:rsidR="00AE5C4D">
        <w:rPr>
          <w:rFonts w:ascii="Calibri" w:eastAsia="Times New Roman" w:hAnsi="Calibri" w:cs="Courier New"/>
          <w:sz w:val="24"/>
          <w:szCs w:val="24"/>
          <w:lang w:eastAsia="el-GR"/>
        </w:rPr>
        <w:t xml:space="preserve">εξηγηθεί με σαφήνεια το τί ακριβώς αφορά η «παρέκκλιση </w:t>
      </w:r>
      <w:r w:rsidR="00AE5C4D" w:rsidRPr="00A96171">
        <w:rPr>
          <w:rFonts w:ascii="Calibri" w:hAnsi="Calibri" w:cs="MgHelveticaUCPol-Italic"/>
          <w:iCs/>
          <w:sz w:val="24"/>
          <w:szCs w:val="24"/>
        </w:rPr>
        <w:t>των ισχυουσών διατάξεων</w:t>
      </w:r>
      <w:r w:rsidR="00AE5C4D">
        <w:rPr>
          <w:rFonts w:ascii="Calibri" w:hAnsi="Calibri" w:cs="MgHelveticaUCPol-Italic"/>
          <w:iCs/>
          <w:sz w:val="24"/>
          <w:szCs w:val="24"/>
        </w:rPr>
        <w:t>»</w:t>
      </w:r>
      <w:r w:rsidR="00AE5C4D">
        <w:rPr>
          <w:rFonts w:ascii="Calibri" w:eastAsia="Times New Roman" w:hAnsi="Calibri" w:cs="Courier New"/>
          <w:sz w:val="24"/>
          <w:szCs w:val="24"/>
          <w:lang w:eastAsia="el-GR"/>
        </w:rPr>
        <w:t xml:space="preserve"> που προβλέπεται στην περί </w:t>
      </w:r>
      <w:proofErr w:type="spellStart"/>
      <w:r w:rsidR="00AE5C4D">
        <w:rPr>
          <w:rFonts w:ascii="Calibri" w:eastAsia="Times New Roman" w:hAnsi="Calibri" w:cs="Courier New"/>
          <w:sz w:val="24"/>
          <w:szCs w:val="24"/>
          <w:lang w:eastAsia="el-GR"/>
        </w:rPr>
        <w:t>οινοτουρισμού</w:t>
      </w:r>
      <w:proofErr w:type="spellEnd"/>
      <w:r w:rsidR="00AE5C4D">
        <w:rPr>
          <w:rFonts w:ascii="Calibri" w:eastAsia="Times New Roman" w:hAnsi="Calibri" w:cs="Courier New"/>
          <w:sz w:val="24"/>
          <w:szCs w:val="24"/>
          <w:lang w:eastAsia="el-GR"/>
        </w:rPr>
        <w:t xml:space="preserve"> παράγραφο 1 του Άρθρου 25 </w:t>
      </w:r>
      <w:r w:rsidR="00AE5C4D" w:rsidRPr="00196386">
        <w:rPr>
          <w:rFonts w:ascii="Calibri" w:hAnsi="Calibri"/>
          <w:sz w:val="24"/>
          <w:szCs w:val="24"/>
        </w:rPr>
        <w:t>Ν. 4276</w:t>
      </w:r>
      <w:r w:rsidR="00AE5C4D">
        <w:rPr>
          <w:rFonts w:ascii="Calibri" w:hAnsi="Calibri"/>
          <w:sz w:val="24"/>
          <w:szCs w:val="24"/>
        </w:rPr>
        <w:t>/</w:t>
      </w:r>
      <w:r w:rsidR="00AE5C4D" w:rsidRPr="00DD6CF7">
        <w:rPr>
          <w:rFonts w:ascii="Calibri" w:hAnsi="Calibri"/>
          <w:sz w:val="24"/>
          <w:szCs w:val="24"/>
        </w:rPr>
        <w:t>20</w:t>
      </w:r>
      <w:r w:rsidR="00AE5C4D">
        <w:rPr>
          <w:rFonts w:ascii="Calibri" w:hAnsi="Calibri"/>
          <w:sz w:val="24"/>
          <w:szCs w:val="24"/>
        </w:rPr>
        <w:t>14</w:t>
      </w:r>
      <w:r>
        <w:rPr>
          <w:rFonts w:ascii="Calibri" w:hAnsi="Calibri"/>
          <w:sz w:val="24"/>
          <w:szCs w:val="24"/>
        </w:rPr>
        <w:t xml:space="preserve"> και</w:t>
      </w:r>
      <w:r w:rsidR="00AE5C4D">
        <w:rPr>
          <w:rFonts w:ascii="Calibri" w:hAnsi="Calibri"/>
          <w:sz w:val="24"/>
          <w:szCs w:val="24"/>
        </w:rPr>
        <w:t xml:space="preserve"> επιτρέπει τ</w:t>
      </w:r>
      <w:r w:rsidR="00AE5C4D">
        <w:rPr>
          <w:rFonts w:ascii="Calibri" w:eastAsia="Times New Roman" w:hAnsi="Calibri" w:cs="Courier New"/>
          <w:sz w:val="24"/>
          <w:szCs w:val="24"/>
          <w:lang w:eastAsia="el-GR"/>
        </w:rPr>
        <w:t xml:space="preserve">ην </w:t>
      </w:r>
      <w:r w:rsidR="00AE5C4D" w:rsidRPr="00196386">
        <w:rPr>
          <w:rFonts w:ascii="Calibri" w:hAnsi="Calibri" w:cs="MgHelveticaUCPol-Italic"/>
          <w:iCs/>
          <w:sz w:val="24"/>
          <w:szCs w:val="24"/>
        </w:rPr>
        <w:t xml:space="preserve">ίδρυση μη κύριων τουριστικών καταλυμάτων και χώρων εστίασης μέσα στα όρια των οινοποιητικών ή και </w:t>
      </w:r>
      <w:proofErr w:type="spellStart"/>
      <w:r w:rsidR="00AE5C4D" w:rsidRPr="00196386">
        <w:rPr>
          <w:rFonts w:ascii="Calibri" w:hAnsi="Calibri" w:cs="MgHelveticaUCPol-Italic"/>
          <w:iCs/>
          <w:sz w:val="24"/>
          <w:szCs w:val="24"/>
        </w:rPr>
        <w:t>οινοπαραγωγικών</w:t>
      </w:r>
      <w:proofErr w:type="spellEnd"/>
      <w:r w:rsidR="00AE5C4D" w:rsidRPr="00196386">
        <w:rPr>
          <w:rFonts w:ascii="Calibri" w:hAnsi="Calibri" w:cs="MgHelveticaUCPol-Italic"/>
          <w:iCs/>
          <w:sz w:val="24"/>
          <w:szCs w:val="24"/>
        </w:rPr>
        <w:t xml:space="preserve"> </w:t>
      </w:r>
      <w:r w:rsidR="00AE5C4D">
        <w:rPr>
          <w:rFonts w:ascii="Calibri" w:hAnsi="Calibri" w:cs="MgHelveticaUCPol-Italic"/>
          <w:iCs/>
          <w:sz w:val="24"/>
          <w:szCs w:val="24"/>
        </w:rPr>
        <w:t>(</w:t>
      </w:r>
      <w:r w:rsidR="00AE5C4D" w:rsidRPr="00646AF5">
        <w:rPr>
          <w:rFonts w:ascii="Calibri" w:hAnsi="Calibri" w:cs="MgHelveticaUCPol-Italic"/>
          <w:iCs/>
          <w:sz w:val="24"/>
          <w:szCs w:val="24"/>
        </w:rPr>
        <w:t>αμπελώνων)</w:t>
      </w:r>
      <w:r w:rsidR="00AE5C4D" w:rsidRPr="00196386">
        <w:rPr>
          <w:rFonts w:ascii="Calibri" w:hAnsi="Calibri" w:cs="MgHelveticaUCPol-Italic"/>
          <w:iCs/>
          <w:sz w:val="24"/>
          <w:szCs w:val="24"/>
        </w:rPr>
        <w:t xml:space="preserve"> εγκαταστάσεων</w:t>
      </w:r>
      <w:r w:rsidR="00AE5C4D">
        <w:rPr>
          <w:rFonts w:ascii="Calibri" w:hAnsi="Calibri"/>
          <w:sz w:val="24"/>
          <w:szCs w:val="24"/>
        </w:rPr>
        <w:t xml:space="preserve"> και να ελεγχθεί εάν η ίδρυση τέτοιων </w:t>
      </w:r>
      <w:proofErr w:type="spellStart"/>
      <w:r w:rsidR="00AE5C4D">
        <w:rPr>
          <w:rFonts w:ascii="Calibri" w:hAnsi="Calibri"/>
          <w:sz w:val="24"/>
          <w:szCs w:val="24"/>
        </w:rPr>
        <w:t>οινοτουριστικών</w:t>
      </w:r>
      <w:proofErr w:type="spellEnd"/>
      <w:r w:rsidR="00AE5C4D">
        <w:rPr>
          <w:rFonts w:ascii="Calibri" w:hAnsi="Calibri"/>
          <w:sz w:val="24"/>
          <w:szCs w:val="24"/>
        </w:rPr>
        <w:t xml:space="preserve"> εγκαταστάσεων σε εκτός σχεδίου περιοχές προσκρούει </w:t>
      </w:r>
      <w:r>
        <w:rPr>
          <w:rFonts w:ascii="Calibri" w:hAnsi="Calibri"/>
          <w:sz w:val="24"/>
          <w:szCs w:val="24"/>
        </w:rPr>
        <w:t>σε</w:t>
      </w:r>
      <w:r w:rsidR="00AE5C4D">
        <w:rPr>
          <w:rFonts w:ascii="Calibri" w:hAnsi="Calibri"/>
          <w:sz w:val="24"/>
          <w:szCs w:val="24"/>
        </w:rPr>
        <w:t xml:space="preserve"> πολεοδομικούς περιορισμούς του </w:t>
      </w:r>
      <w:r w:rsidR="00AE5C4D">
        <w:rPr>
          <w:rFonts w:ascii="Calibri" w:eastAsia="Times New Roman" w:hAnsi="Calibri" w:cs="Courier New"/>
          <w:sz w:val="24"/>
          <w:szCs w:val="24"/>
          <w:lang w:eastAsia="el-GR"/>
        </w:rPr>
        <w:t>ΠΔ/24-4-85, που ενδεχομένως την καθιστ</w:t>
      </w:r>
      <w:r w:rsidR="00646AF5">
        <w:rPr>
          <w:rFonts w:ascii="Calibri" w:eastAsia="Times New Roman" w:hAnsi="Calibri" w:cs="Courier New"/>
          <w:sz w:val="24"/>
          <w:szCs w:val="24"/>
          <w:lang w:eastAsia="el-GR"/>
        </w:rPr>
        <w:t>ούν</w:t>
      </w:r>
      <w:r w:rsidR="00AE5C4D">
        <w:rPr>
          <w:rFonts w:ascii="Calibri" w:eastAsia="Times New Roman" w:hAnsi="Calibri" w:cs="Courier New"/>
          <w:sz w:val="24"/>
          <w:szCs w:val="24"/>
          <w:lang w:eastAsia="el-GR"/>
        </w:rPr>
        <w:t xml:space="preserve"> ανέφικτη στις περισσότερες των περιπτώσεων.</w:t>
      </w:r>
    </w:p>
    <w:p w:rsidR="00AE5C4D" w:rsidRDefault="00792170" w:rsidP="00426768">
      <w:pPr>
        <w:spacing w:after="0" w:line="28" w:lineRule="atLeast"/>
        <w:jc w:val="both"/>
        <w:rPr>
          <w:rFonts w:ascii="Calibri" w:hAnsi="Calibri" w:cs="Calibri"/>
          <w:sz w:val="24"/>
          <w:szCs w:val="24"/>
        </w:rPr>
      </w:pPr>
      <w:r>
        <w:rPr>
          <w:rFonts w:ascii="Calibri" w:eastAsia="Times New Roman" w:hAnsi="Calibri" w:cs="Courier New"/>
          <w:sz w:val="24"/>
          <w:szCs w:val="24"/>
          <w:lang w:eastAsia="el-GR"/>
        </w:rPr>
        <w:t xml:space="preserve">           </w:t>
      </w:r>
      <w:r w:rsidR="00AE5C4D">
        <w:rPr>
          <w:rFonts w:ascii="Calibri" w:eastAsia="Times New Roman" w:hAnsi="Calibri" w:cs="Courier New"/>
          <w:sz w:val="24"/>
          <w:szCs w:val="24"/>
          <w:lang w:eastAsia="el-GR"/>
        </w:rPr>
        <w:t xml:space="preserve">Για την αντιμετώπιση του προβλήματος που έχει αναφανεί και περιγράφεται στο παρόν, προτείνεται </w:t>
      </w:r>
      <w:proofErr w:type="spellStart"/>
      <w:r w:rsidR="00AE5C4D">
        <w:rPr>
          <w:rFonts w:ascii="Calibri" w:eastAsia="Times New Roman" w:hAnsi="Calibri" w:cs="Courier New"/>
          <w:sz w:val="24"/>
          <w:szCs w:val="24"/>
          <w:lang w:eastAsia="el-GR"/>
        </w:rPr>
        <w:t>επαναδιατύπωση</w:t>
      </w:r>
      <w:proofErr w:type="spellEnd"/>
      <w:r w:rsidR="00AE5C4D">
        <w:rPr>
          <w:rFonts w:ascii="Calibri" w:eastAsia="Times New Roman" w:hAnsi="Calibri" w:cs="Courier New"/>
          <w:sz w:val="24"/>
          <w:szCs w:val="24"/>
          <w:lang w:eastAsia="el-GR"/>
        </w:rPr>
        <w:t xml:space="preserve"> </w:t>
      </w:r>
      <w:r w:rsidR="00C54AE9">
        <w:rPr>
          <w:rFonts w:ascii="Calibri" w:eastAsia="Times New Roman" w:hAnsi="Calibri" w:cs="Courier New"/>
          <w:sz w:val="24"/>
          <w:szCs w:val="24"/>
          <w:lang w:eastAsia="el-GR"/>
        </w:rPr>
        <w:t>των σχετικών νομοθετικών ρυθμίσεων, του</w:t>
      </w:r>
      <w:r>
        <w:rPr>
          <w:rFonts w:ascii="Calibri" w:eastAsia="Times New Roman" w:hAnsi="Calibri" w:cs="Courier New"/>
          <w:sz w:val="24"/>
          <w:szCs w:val="24"/>
          <w:lang w:eastAsia="el-GR"/>
        </w:rPr>
        <w:t>-</w:t>
      </w:r>
      <w:proofErr w:type="spellStart"/>
      <w:r w:rsidR="00C54AE9">
        <w:rPr>
          <w:rFonts w:ascii="Calibri" w:eastAsia="Times New Roman" w:hAnsi="Calibri" w:cs="Courier New"/>
          <w:sz w:val="24"/>
          <w:szCs w:val="24"/>
          <w:lang w:eastAsia="el-GR"/>
        </w:rPr>
        <w:t>λάχιστον</w:t>
      </w:r>
      <w:proofErr w:type="spellEnd"/>
      <w:r w:rsidR="00C54AE9">
        <w:rPr>
          <w:rFonts w:ascii="Calibri" w:eastAsia="Times New Roman" w:hAnsi="Calibri" w:cs="Courier New"/>
          <w:sz w:val="24"/>
          <w:szCs w:val="24"/>
          <w:lang w:eastAsia="el-GR"/>
        </w:rPr>
        <w:t xml:space="preserve"> όσον αφορά τη δημιουργία επιπλωμένων κατοικιών και, </w:t>
      </w:r>
      <w:r w:rsidR="00C54AE9" w:rsidRPr="00792170">
        <w:rPr>
          <w:rFonts w:ascii="Calibri" w:eastAsia="Times New Roman" w:hAnsi="Calibri" w:cs="Courier New"/>
          <w:sz w:val="24"/>
          <w:szCs w:val="24"/>
          <w:u w:val="single"/>
          <w:lang w:eastAsia="el-GR"/>
        </w:rPr>
        <w:t>κυρίως</w:t>
      </w:r>
      <w:r w:rsidR="00C54AE9">
        <w:rPr>
          <w:rFonts w:ascii="Calibri" w:eastAsia="Times New Roman" w:hAnsi="Calibri" w:cs="Courier New"/>
          <w:sz w:val="24"/>
          <w:szCs w:val="24"/>
          <w:lang w:eastAsia="el-GR"/>
        </w:rPr>
        <w:t xml:space="preserve">, </w:t>
      </w:r>
      <w:r w:rsidR="00C54AE9" w:rsidRPr="00792170">
        <w:rPr>
          <w:rFonts w:ascii="Calibri" w:eastAsia="Times New Roman" w:hAnsi="Calibri" w:cs="Courier New"/>
          <w:sz w:val="24"/>
          <w:szCs w:val="24"/>
          <w:u w:val="single"/>
          <w:lang w:eastAsia="el-GR"/>
        </w:rPr>
        <w:t>ΕΕΔΔ σε γήπεδα εκτός σχεδίου στα οποία υπάρχει οινοποιείο</w:t>
      </w:r>
      <w:r w:rsidR="00C54AE9">
        <w:rPr>
          <w:rFonts w:ascii="Calibri" w:eastAsia="Times New Roman" w:hAnsi="Calibri" w:cs="Courier New"/>
          <w:sz w:val="24"/>
          <w:szCs w:val="24"/>
          <w:lang w:eastAsia="el-GR"/>
        </w:rPr>
        <w:t xml:space="preserve">, με την πρόβλεψη να </w:t>
      </w:r>
      <w:r w:rsidR="00C54AE9" w:rsidRPr="00792170">
        <w:rPr>
          <w:rFonts w:ascii="Calibri" w:eastAsia="Times New Roman" w:hAnsi="Calibri" w:cs="Courier New"/>
          <w:sz w:val="24"/>
          <w:szCs w:val="24"/>
          <w:u w:val="single"/>
          <w:lang w:eastAsia="el-GR"/>
        </w:rPr>
        <w:t xml:space="preserve">κτίζονται </w:t>
      </w:r>
      <w:r w:rsidRPr="00792170">
        <w:rPr>
          <w:rFonts w:ascii="Calibri" w:eastAsia="Times New Roman" w:hAnsi="Calibri" w:cs="Courier New"/>
          <w:sz w:val="24"/>
          <w:szCs w:val="24"/>
          <w:u w:val="single"/>
          <w:lang w:eastAsia="el-GR"/>
        </w:rPr>
        <w:t xml:space="preserve">όχι </w:t>
      </w:r>
      <w:r w:rsidR="00C54AE9" w:rsidRPr="00792170">
        <w:rPr>
          <w:rFonts w:ascii="Calibri" w:eastAsia="Times New Roman" w:hAnsi="Calibri" w:cs="Courier New"/>
          <w:sz w:val="24"/>
          <w:szCs w:val="24"/>
          <w:u w:val="single"/>
          <w:lang w:eastAsia="el-GR"/>
        </w:rPr>
        <w:t>με όρους δόμησης κατοικίας, αλλά με το πολεοδομικό καθεστώς που ίσχυσε για το κτίριο ή τα κτίρια του οινοποιείου</w:t>
      </w:r>
      <w:r w:rsidR="00C54AE9">
        <w:rPr>
          <w:rFonts w:ascii="Calibri" w:eastAsia="Times New Roman" w:hAnsi="Calibri" w:cs="Courier New"/>
          <w:sz w:val="24"/>
          <w:szCs w:val="24"/>
          <w:lang w:eastAsia="el-GR"/>
        </w:rPr>
        <w:t xml:space="preserve">, με επιβολή, ενδεχομένως, ειδικών περιορισμών, όπως </w:t>
      </w:r>
      <w:r w:rsidR="00646AF5">
        <w:rPr>
          <w:rFonts w:ascii="Calibri" w:eastAsia="Times New Roman" w:hAnsi="Calibri" w:cs="Courier New"/>
          <w:sz w:val="24"/>
          <w:szCs w:val="24"/>
          <w:lang w:eastAsia="el-GR"/>
        </w:rPr>
        <w:t xml:space="preserve">το </w:t>
      </w:r>
      <w:r w:rsidR="00C54AE9">
        <w:rPr>
          <w:rFonts w:ascii="Calibri" w:eastAsia="Times New Roman" w:hAnsi="Calibri" w:cs="Courier New"/>
          <w:sz w:val="24"/>
          <w:szCs w:val="24"/>
          <w:lang w:eastAsia="el-GR"/>
        </w:rPr>
        <w:t>μέγιστο ύψος και</w:t>
      </w:r>
      <w:r w:rsidR="00646AF5">
        <w:rPr>
          <w:rFonts w:ascii="Calibri" w:eastAsia="Times New Roman" w:hAnsi="Calibri" w:cs="Courier New"/>
          <w:sz w:val="24"/>
          <w:szCs w:val="24"/>
          <w:lang w:eastAsia="el-GR"/>
        </w:rPr>
        <w:t xml:space="preserve"> το μέγιστο συνολικό</w:t>
      </w:r>
      <w:r w:rsidR="00C54AE9">
        <w:rPr>
          <w:rFonts w:ascii="Calibri" w:eastAsia="Times New Roman" w:hAnsi="Calibri" w:cs="Courier New"/>
          <w:sz w:val="24"/>
          <w:szCs w:val="24"/>
          <w:lang w:eastAsia="el-GR"/>
        </w:rPr>
        <w:t xml:space="preserve"> εμβαδόν ΕΕΔΔ, δύο μόνο όροφοι κλπ. Κατά τα άλλα, όσον αφορά τις τεχνικές </w:t>
      </w:r>
      <w:r w:rsidR="00646AF5">
        <w:rPr>
          <w:rFonts w:ascii="Calibri" w:eastAsia="Times New Roman" w:hAnsi="Calibri" w:cs="Courier New"/>
          <w:sz w:val="24"/>
          <w:szCs w:val="24"/>
          <w:lang w:eastAsia="el-GR"/>
        </w:rPr>
        <w:t xml:space="preserve">και λοιπές τους </w:t>
      </w:r>
      <w:r w:rsidR="00C54AE9">
        <w:rPr>
          <w:rFonts w:ascii="Calibri" w:eastAsia="Times New Roman" w:hAnsi="Calibri" w:cs="Courier New"/>
          <w:sz w:val="24"/>
          <w:szCs w:val="24"/>
          <w:lang w:eastAsia="el-GR"/>
        </w:rPr>
        <w:t xml:space="preserve">προδιαγραφές, και αυτά τα ΕΕΔΔ </w:t>
      </w:r>
      <w:r w:rsidR="00646AF5">
        <w:rPr>
          <w:rFonts w:ascii="Calibri" w:eastAsia="Times New Roman" w:hAnsi="Calibri" w:cs="Courier New"/>
          <w:sz w:val="24"/>
          <w:szCs w:val="24"/>
          <w:lang w:eastAsia="el-GR"/>
        </w:rPr>
        <w:t xml:space="preserve">που ιδρύονται </w:t>
      </w:r>
      <w:r w:rsidR="00C54AE9">
        <w:rPr>
          <w:rFonts w:ascii="Calibri" w:eastAsia="Times New Roman" w:hAnsi="Calibri" w:cs="Courier New"/>
          <w:sz w:val="24"/>
          <w:szCs w:val="24"/>
          <w:lang w:eastAsia="el-GR"/>
        </w:rPr>
        <w:t xml:space="preserve">σε οινοποιεία εκτός σχεδίου θα πρέπει να τηρούν τα προβλεπόμενα στην </w:t>
      </w:r>
      <w:r w:rsidR="00C54AE9" w:rsidRPr="005C7603">
        <w:rPr>
          <w:rFonts w:ascii="Calibri" w:hAnsi="Calibri" w:cs="Calibri"/>
          <w:sz w:val="24"/>
          <w:szCs w:val="24"/>
        </w:rPr>
        <w:t xml:space="preserve">21185/13−10−2014 απόφαση </w:t>
      </w:r>
      <w:r w:rsidR="00646AF5">
        <w:rPr>
          <w:rFonts w:ascii="Calibri" w:hAnsi="Calibri" w:cs="Calibri"/>
          <w:sz w:val="24"/>
          <w:szCs w:val="24"/>
        </w:rPr>
        <w:t xml:space="preserve">του </w:t>
      </w:r>
      <w:r w:rsidR="00C54AE9" w:rsidRPr="005C7603">
        <w:rPr>
          <w:rFonts w:ascii="Calibri" w:hAnsi="Calibri" w:cs="Calibri"/>
          <w:sz w:val="24"/>
          <w:szCs w:val="24"/>
        </w:rPr>
        <w:t>Υπουργού Τουρισμού (ΦΕΚ 2840</w:t>
      </w:r>
      <w:r w:rsidR="00C54AE9" w:rsidRPr="005C7603">
        <w:rPr>
          <w:rFonts w:ascii="MgHelveticaUCPol" w:hAnsi="MgHelveticaUCPol" w:cs="MgHelveticaUCPol"/>
          <w:sz w:val="18"/>
          <w:szCs w:val="18"/>
        </w:rPr>
        <w:t xml:space="preserve"> </w:t>
      </w:r>
      <w:r w:rsidR="00C54AE9">
        <w:rPr>
          <w:rFonts w:ascii="Calibri" w:hAnsi="Calibri" w:cs="Calibri"/>
          <w:sz w:val="24"/>
          <w:szCs w:val="24"/>
        </w:rPr>
        <w:t xml:space="preserve">Β). </w:t>
      </w:r>
    </w:p>
    <w:p w:rsidR="00646AF5" w:rsidRDefault="00646AF5" w:rsidP="00426768">
      <w:pPr>
        <w:spacing w:after="0" w:line="28" w:lineRule="atLeast"/>
        <w:jc w:val="both"/>
        <w:rPr>
          <w:rFonts w:ascii="Calibri" w:hAnsi="Calibri" w:cs="Calibri"/>
          <w:sz w:val="24"/>
          <w:szCs w:val="24"/>
        </w:rPr>
      </w:pPr>
    </w:p>
    <w:p w:rsidR="00646AF5" w:rsidRDefault="00646AF5" w:rsidP="00426768">
      <w:pPr>
        <w:spacing w:after="0" w:line="28" w:lineRule="atLeast"/>
        <w:jc w:val="both"/>
        <w:rPr>
          <w:rFonts w:ascii="Calibri" w:hAnsi="Calibri" w:cs="Calibri"/>
          <w:sz w:val="24"/>
          <w:szCs w:val="24"/>
        </w:rPr>
      </w:pPr>
      <w:r>
        <w:rPr>
          <w:rFonts w:ascii="Calibri" w:hAnsi="Calibri" w:cs="Calibri"/>
          <w:sz w:val="24"/>
          <w:szCs w:val="24"/>
        </w:rPr>
        <w:t xml:space="preserve">Γιώργος </w:t>
      </w:r>
      <w:proofErr w:type="spellStart"/>
      <w:r>
        <w:rPr>
          <w:rFonts w:ascii="Calibri" w:hAnsi="Calibri" w:cs="Calibri"/>
          <w:sz w:val="24"/>
          <w:szCs w:val="24"/>
        </w:rPr>
        <w:t>Κωστούρος</w:t>
      </w:r>
      <w:proofErr w:type="spellEnd"/>
    </w:p>
    <w:p w:rsidR="00646AF5" w:rsidRDefault="00646AF5" w:rsidP="00426768">
      <w:pPr>
        <w:spacing w:after="0" w:line="28" w:lineRule="atLeast"/>
        <w:jc w:val="both"/>
        <w:rPr>
          <w:rFonts w:ascii="Calibri" w:hAnsi="Calibri" w:cs="Calibri"/>
          <w:sz w:val="24"/>
          <w:szCs w:val="24"/>
        </w:rPr>
      </w:pPr>
      <w:r>
        <w:rPr>
          <w:rFonts w:ascii="Calibri" w:hAnsi="Calibri" w:cs="Calibri"/>
          <w:sz w:val="24"/>
          <w:szCs w:val="24"/>
        </w:rPr>
        <w:t>Πολιτικός Μηχανικός</w:t>
      </w:r>
    </w:p>
    <w:p w:rsidR="00646AF5" w:rsidRPr="001B4DBC" w:rsidRDefault="00646AF5" w:rsidP="00426768">
      <w:pPr>
        <w:spacing w:after="0" w:line="28" w:lineRule="atLeast"/>
        <w:jc w:val="both"/>
        <w:rPr>
          <w:rFonts w:ascii="Calibri" w:hAnsi="Calibri" w:cs="Calibri"/>
          <w:sz w:val="24"/>
          <w:szCs w:val="24"/>
        </w:rPr>
      </w:pPr>
      <w:r>
        <w:rPr>
          <w:rFonts w:ascii="Calibri" w:hAnsi="Calibri" w:cs="Calibri"/>
          <w:sz w:val="24"/>
          <w:szCs w:val="24"/>
        </w:rPr>
        <w:t xml:space="preserve">Συντονιστής Προγράμματος </w:t>
      </w:r>
      <w:r>
        <w:rPr>
          <w:rFonts w:ascii="Calibri" w:hAnsi="Calibri" w:cs="Calibri"/>
          <w:sz w:val="24"/>
          <w:szCs w:val="24"/>
          <w:lang w:val="en-US"/>
        </w:rPr>
        <w:t>CLLD</w:t>
      </w:r>
      <w:r w:rsidRPr="00646AF5">
        <w:rPr>
          <w:rFonts w:ascii="Calibri" w:hAnsi="Calibri" w:cs="Calibri"/>
          <w:sz w:val="24"/>
          <w:szCs w:val="24"/>
        </w:rPr>
        <w:t>/</w:t>
      </w:r>
      <w:r>
        <w:rPr>
          <w:rFonts w:ascii="Calibri" w:hAnsi="Calibri" w:cs="Calibri"/>
          <w:sz w:val="24"/>
          <w:szCs w:val="24"/>
          <w:lang w:val="en-US"/>
        </w:rPr>
        <w:t>LEADER</w:t>
      </w:r>
      <w:r w:rsidRPr="00646AF5">
        <w:rPr>
          <w:rFonts w:ascii="Calibri" w:hAnsi="Calibri" w:cs="Calibri"/>
          <w:sz w:val="24"/>
          <w:szCs w:val="24"/>
        </w:rPr>
        <w:t xml:space="preserve"> </w:t>
      </w:r>
      <w:r>
        <w:rPr>
          <w:rFonts w:ascii="Calibri" w:hAnsi="Calibri" w:cs="Calibri"/>
          <w:sz w:val="24"/>
          <w:szCs w:val="24"/>
        </w:rPr>
        <w:t>Βόρειας Πελοποννήσου</w:t>
      </w:r>
    </w:p>
    <w:p w:rsidR="001B4DBC" w:rsidRDefault="001B4DBC" w:rsidP="00426768">
      <w:pPr>
        <w:spacing w:after="0" w:line="28" w:lineRule="atLeast"/>
        <w:jc w:val="both"/>
        <w:rPr>
          <w:rFonts w:ascii="Calibri" w:hAnsi="Calibri" w:cs="Calibri"/>
          <w:sz w:val="24"/>
          <w:szCs w:val="24"/>
          <w:lang w:val="en-US"/>
        </w:rPr>
      </w:pPr>
    </w:p>
    <w:p w:rsidR="001B4DBC" w:rsidRDefault="001B4DBC" w:rsidP="00426768">
      <w:pPr>
        <w:spacing w:after="0" w:line="28" w:lineRule="atLeast"/>
        <w:jc w:val="both"/>
        <w:rPr>
          <w:rFonts w:ascii="Calibri" w:hAnsi="Calibri" w:cs="Calibri"/>
          <w:sz w:val="24"/>
          <w:szCs w:val="24"/>
          <w:lang w:val="en-US"/>
        </w:rPr>
      </w:pPr>
    </w:p>
    <w:p w:rsidR="00CB2CC0" w:rsidRDefault="00CB2CC0" w:rsidP="00426768">
      <w:pPr>
        <w:spacing w:after="0" w:line="28" w:lineRule="atLeast"/>
        <w:jc w:val="both"/>
        <w:rPr>
          <w:rFonts w:ascii="Calibri" w:hAnsi="Calibri" w:cs="Calibri"/>
        </w:rPr>
      </w:pPr>
      <w:r>
        <w:rPr>
          <w:rFonts w:ascii="Calibri" w:hAnsi="Calibri" w:cs="Calibri"/>
        </w:rPr>
        <w:t>ΠΡΟΣΘΗΚΗ</w:t>
      </w:r>
      <w:bookmarkStart w:id="0" w:name="_GoBack"/>
      <w:bookmarkEnd w:id="0"/>
    </w:p>
    <w:p w:rsidR="001B4DBC" w:rsidRPr="00CB2CC0" w:rsidRDefault="001B4DBC" w:rsidP="00426768">
      <w:pPr>
        <w:spacing w:after="0" w:line="28" w:lineRule="atLeast"/>
        <w:jc w:val="both"/>
        <w:rPr>
          <w:rFonts w:ascii="Calibri" w:hAnsi="Calibri" w:cs="Calibri"/>
        </w:rPr>
      </w:pPr>
      <w:r w:rsidRPr="00CB2CC0">
        <w:rPr>
          <w:rFonts w:ascii="Calibri" w:hAnsi="Calibri" w:cs="Calibri"/>
        </w:rPr>
        <w:t xml:space="preserve">Σημειώνεται ότι για τους </w:t>
      </w:r>
      <w:proofErr w:type="spellStart"/>
      <w:r w:rsidRPr="00CB2CC0">
        <w:rPr>
          <w:rFonts w:ascii="Calibri" w:hAnsi="Calibri" w:cs="Calibri"/>
        </w:rPr>
        <w:t>οινοτουρίστες</w:t>
      </w:r>
      <w:proofErr w:type="spellEnd"/>
      <w:r w:rsidRPr="00CB2CC0">
        <w:rPr>
          <w:rFonts w:ascii="Calibri" w:hAnsi="Calibri" w:cs="Calibri"/>
        </w:rPr>
        <w:t xml:space="preserve">, η συνήθης διάρκεια μιας επίσκεψης σε </w:t>
      </w:r>
      <w:proofErr w:type="spellStart"/>
      <w:r w:rsidRPr="00CB2CC0">
        <w:rPr>
          <w:rFonts w:ascii="Calibri" w:hAnsi="Calibri" w:cs="Calibri"/>
        </w:rPr>
        <w:t>οινοπαραγωγική</w:t>
      </w:r>
      <w:proofErr w:type="spellEnd"/>
      <w:r w:rsidRPr="00CB2CC0">
        <w:rPr>
          <w:rFonts w:ascii="Calibri" w:hAnsi="Calibri" w:cs="Calibri"/>
        </w:rPr>
        <w:t xml:space="preserve"> περιοχή είναι 2-3 ημέρες (δύο διανυκτερεύσεις) και σπανιότατα παρατείνεται σε περισσότερες. Οι </w:t>
      </w:r>
      <w:proofErr w:type="spellStart"/>
      <w:r w:rsidRPr="00CB2CC0">
        <w:rPr>
          <w:rFonts w:ascii="Calibri" w:hAnsi="Calibri" w:cs="Calibri"/>
        </w:rPr>
        <w:t>οινοτουρίστες</w:t>
      </w:r>
      <w:proofErr w:type="spellEnd"/>
      <w:r w:rsidRPr="00CB2CC0">
        <w:rPr>
          <w:rFonts w:ascii="Calibri" w:hAnsi="Calibri" w:cs="Calibri"/>
        </w:rPr>
        <w:t xml:space="preserve"> επισκέπτονται αμπελώνες και οινοποιεία, ενδεχομένως δε και κάποια τοπικά αξιοθέατα και μνημεία και για φαγητό απευθύνονται σε τοπικά καταστήματα εστίασης, προκειμένου να γνωρίσουν την τοπική γαστρονομία και να γευθούν  τα τοπικά κρασιά της προτίμησής τους. Επομένως, ο τύπος αυτοεξυπηρετούμενων καταλυμάτων, όπως οι ενοικιαζόμενες επιπλωμένες κατοικίες, οι οποίες είναι ιδανικές για φιλοξενία μεγαλύτερης διάρκειας σε ορεινά και παραθαλάσσια θέρετρα</w:t>
      </w:r>
      <w:r w:rsidR="005E6F44" w:rsidRPr="00CB2CC0">
        <w:rPr>
          <w:rFonts w:ascii="Calibri" w:hAnsi="Calibri" w:cs="Calibri"/>
        </w:rPr>
        <w:t xml:space="preserve">, δεν προσιδιάζει στις απαιτήσεις των </w:t>
      </w:r>
      <w:proofErr w:type="spellStart"/>
      <w:r w:rsidR="005E6F44" w:rsidRPr="00CB2CC0">
        <w:rPr>
          <w:rFonts w:ascii="Calibri" w:hAnsi="Calibri" w:cs="Calibri"/>
        </w:rPr>
        <w:t>οινοτουριστών</w:t>
      </w:r>
      <w:proofErr w:type="spellEnd"/>
      <w:r w:rsidR="005E6F44" w:rsidRPr="00CB2CC0">
        <w:rPr>
          <w:rFonts w:ascii="Calibri" w:hAnsi="Calibri" w:cs="Calibri"/>
        </w:rPr>
        <w:t>, οι οποίοι στο λίγο χρόνο που διαθέτουν δεν έχουν λόγο να επωφεληθούν από τον εξοπλισμό του καταλύματός τους με κουζίνα, παρασκευάζοντας οι ίδιοι το πρωινό και τα γεύματά τους, που ασφαλώς αποτελεί οικονομικότερη μεν αλλά όχι προτιμητέα λύση.</w:t>
      </w:r>
    </w:p>
    <w:p w:rsidR="005E6F44" w:rsidRPr="00CB2CC0" w:rsidRDefault="005E6F44" w:rsidP="00426768">
      <w:pPr>
        <w:spacing w:after="0" w:line="28" w:lineRule="atLeast"/>
        <w:jc w:val="both"/>
        <w:rPr>
          <w:rFonts w:ascii="Calibri" w:hAnsi="Calibri" w:cs="Calibri"/>
        </w:rPr>
      </w:pPr>
      <w:r w:rsidRPr="00CB2CC0">
        <w:rPr>
          <w:rFonts w:ascii="Calibri" w:hAnsi="Calibri" w:cs="Calibri"/>
        </w:rPr>
        <w:t>Αντιθέτως, τα ΕΕΔΔ ενδείκνυται για παροχές εξυπηρέτησης (καθαριότητα-</w:t>
      </w:r>
      <w:proofErr w:type="spellStart"/>
      <w:r w:rsidRPr="00CB2CC0">
        <w:rPr>
          <w:rFonts w:ascii="Calibri" w:hAnsi="Calibri" w:cs="Calibri"/>
        </w:rPr>
        <w:t>τακτοποίησ</w:t>
      </w:r>
      <w:proofErr w:type="spellEnd"/>
      <w:r w:rsidRPr="00CB2CC0">
        <w:rPr>
          <w:rFonts w:ascii="Calibri" w:hAnsi="Calibri" w:cs="Calibri"/>
        </w:rPr>
        <w:t xml:space="preserve">η δωματίων, πρωινό και </w:t>
      </w:r>
      <w:proofErr w:type="spellStart"/>
      <w:r w:rsidRPr="00CB2CC0">
        <w:rPr>
          <w:rFonts w:ascii="Calibri" w:hAnsi="Calibri" w:cs="Calibri"/>
        </w:rPr>
        <w:t>γευσιγνωσίες</w:t>
      </w:r>
      <w:proofErr w:type="spellEnd"/>
      <w:r w:rsidRPr="00CB2CC0">
        <w:rPr>
          <w:rFonts w:ascii="Calibri" w:hAnsi="Calibri" w:cs="Calibri"/>
        </w:rPr>
        <w:t xml:space="preserve"> κρασιών σε κοινόχρηστο χώρου τους, όχι απρόσωπα, αλλά με την παρουσία του επιχειρηματία ή του εντεταλμένου προσωπικού του καταλύματος. </w:t>
      </w:r>
    </w:p>
    <w:p w:rsidR="005E6F44" w:rsidRPr="00CB2CC0" w:rsidRDefault="005E6F44" w:rsidP="00426768">
      <w:pPr>
        <w:spacing w:after="0" w:line="28" w:lineRule="atLeast"/>
        <w:jc w:val="both"/>
        <w:rPr>
          <w:rFonts w:ascii="Calibri" w:hAnsi="Calibri"/>
        </w:rPr>
      </w:pPr>
      <w:r w:rsidRPr="00CB2CC0">
        <w:rPr>
          <w:rFonts w:ascii="Calibri" w:hAnsi="Calibri" w:cs="Calibri"/>
        </w:rPr>
        <w:t xml:space="preserve">Επομένως, προτιμητέα επιλογή για φιλοξενία </w:t>
      </w:r>
      <w:proofErr w:type="spellStart"/>
      <w:r w:rsidRPr="00CB2CC0">
        <w:rPr>
          <w:rFonts w:ascii="Calibri" w:hAnsi="Calibri" w:cs="Calibri"/>
        </w:rPr>
        <w:t>οινοτουριστών</w:t>
      </w:r>
      <w:proofErr w:type="spellEnd"/>
      <w:r w:rsidRPr="00CB2CC0">
        <w:rPr>
          <w:rFonts w:ascii="Calibri" w:hAnsi="Calibri" w:cs="Calibri"/>
        </w:rPr>
        <w:t xml:space="preserve"> είναι τα οργανωμένα ΕΔΔΔ και όχι οι τουριστικές επιπλωμένες κατοικίες.</w:t>
      </w:r>
    </w:p>
    <w:sectPr w:rsidR="005E6F44" w:rsidRPr="00CB2CC0" w:rsidSect="0046564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gHelveticaUCPol-Italic">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801"/>
    <w:multiLevelType w:val="hybridMultilevel"/>
    <w:tmpl w:val="2FBA5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706ADB"/>
    <w:multiLevelType w:val="hybridMultilevel"/>
    <w:tmpl w:val="3120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F64142"/>
    <w:multiLevelType w:val="hybridMultilevel"/>
    <w:tmpl w:val="02DE7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BF6DD7"/>
    <w:multiLevelType w:val="hybridMultilevel"/>
    <w:tmpl w:val="2056C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8B3A9E"/>
    <w:multiLevelType w:val="hybridMultilevel"/>
    <w:tmpl w:val="E424F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082347"/>
    <w:multiLevelType w:val="hybridMultilevel"/>
    <w:tmpl w:val="28E8B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B52B7C"/>
    <w:multiLevelType w:val="hybridMultilevel"/>
    <w:tmpl w:val="F5A42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755313"/>
    <w:multiLevelType w:val="hybridMultilevel"/>
    <w:tmpl w:val="961C3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9F"/>
    <w:rsid w:val="0000031E"/>
    <w:rsid w:val="0000032E"/>
    <w:rsid w:val="00000A0B"/>
    <w:rsid w:val="00001E2F"/>
    <w:rsid w:val="00002851"/>
    <w:rsid w:val="00002B4A"/>
    <w:rsid w:val="00003EF1"/>
    <w:rsid w:val="00004081"/>
    <w:rsid w:val="00004D30"/>
    <w:rsid w:val="00006685"/>
    <w:rsid w:val="00006830"/>
    <w:rsid w:val="00006FB8"/>
    <w:rsid w:val="00007A39"/>
    <w:rsid w:val="000103CC"/>
    <w:rsid w:val="00010AE1"/>
    <w:rsid w:val="000116FD"/>
    <w:rsid w:val="00015F42"/>
    <w:rsid w:val="00016765"/>
    <w:rsid w:val="00017D30"/>
    <w:rsid w:val="00020B58"/>
    <w:rsid w:val="00020D79"/>
    <w:rsid w:val="0002159D"/>
    <w:rsid w:val="00021BFF"/>
    <w:rsid w:val="00021DFD"/>
    <w:rsid w:val="00022C78"/>
    <w:rsid w:val="000252A2"/>
    <w:rsid w:val="0002587E"/>
    <w:rsid w:val="00026233"/>
    <w:rsid w:val="00027131"/>
    <w:rsid w:val="0003231D"/>
    <w:rsid w:val="000330C9"/>
    <w:rsid w:val="000346A5"/>
    <w:rsid w:val="00036C62"/>
    <w:rsid w:val="00036F16"/>
    <w:rsid w:val="00037097"/>
    <w:rsid w:val="000373F0"/>
    <w:rsid w:val="00040121"/>
    <w:rsid w:val="000408B0"/>
    <w:rsid w:val="00040C37"/>
    <w:rsid w:val="0004232B"/>
    <w:rsid w:val="000425AA"/>
    <w:rsid w:val="00042BBA"/>
    <w:rsid w:val="000431A9"/>
    <w:rsid w:val="0004339E"/>
    <w:rsid w:val="000441D2"/>
    <w:rsid w:val="00044808"/>
    <w:rsid w:val="000448C3"/>
    <w:rsid w:val="00046A62"/>
    <w:rsid w:val="00050414"/>
    <w:rsid w:val="000507AA"/>
    <w:rsid w:val="000516A8"/>
    <w:rsid w:val="00052072"/>
    <w:rsid w:val="0005286B"/>
    <w:rsid w:val="000530BC"/>
    <w:rsid w:val="00053708"/>
    <w:rsid w:val="00053B3F"/>
    <w:rsid w:val="000540F2"/>
    <w:rsid w:val="00054A90"/>
    <w:rsid w:val="00056B13"/>
    <w:rsid w:val="00057972"/>
    <w:rsid w:val="00057CCC"/>
    <w:rsid w:val="00060D0A"/>
    <w:rsid w:val="00060F38"/>
    <w:rsid w:val="000617B5"/>
    <w:rsid w:val="00061E49"/>
    <w:rsid w:val="00063199"/>
    <w:rsid w:val="00063592"/>
    <w:rsid w:val="000636AF"/>
    <w:rsid w:val="00064EC3"/>
    <w:rsid w:val="0006518C"/>
    <w:rsid w:val="000662F9"/>
    <w:rsid w:val="00066654"/>
    <w:rsid w:val="00066F1D"/>
    <w:rsid w:val="00067826"/>
    <w:rsid w:val="00070443"/>
    <w:rsid w:val="0007098C"/>
    <w:rsid w:val="000713C9"/>
    <w:rsid w:val="000718AE"/>
    <w:rsid w:val="000725FF"/>
    <w:rsid w:val="000728FD"/>
    <w:rsid w:val="00075221"/>
    <w:rsid w:val="00076441"/>
    <w:rsid w:val="000767AB"/>
    <w:rsid w:val="0007775E"/>
    <w:rsid w:val="000778E9"/>
    <w:rsid w:val="000807BA"/>
    <w:rsid w:val="00081581"/>
    <w:rsid w:val="0008191E"/>
    <w:rsid w:val="00081BA1"/>
    <w:rsid w:val="000821F7"/>
    <w:rsid w:val="00084024"/>
    <w:rsid w:val="0008431E"/>
    <w:rsid w:val="00084880"/>
    <w:rsid w:val="0008533E"/>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841"/>
    <w:rsid w:val="000A0943"/>
    <w:rsid w:val="000A0E4A"/>
    <w:rsid w:val="000A0EBA"/>
    <w:rsid w:val="000A32F5"/>
    <w:rsid w:val="000A33FE"/>
    <w:rsid w:val="000A39AE"/>
    <w:rsid w:val="000A3FC1"/>
    <w:rsid w:val="000A431B"/>
    <w:rsid w:val="000A4CA0"/>
    <w:rsid w:val="000A552B"/>
    <w:rsid w:val="000A669D"/>
    <w:rsid w:val="000B06DC"/>
    <w:rsid w:val="000B09A5"/>
    <w:rsid w:val="000B24CA"/>
    <w:rsid w:val="000B2649"/>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407"/>
    <w:rsid w:val="000D65F4"/>
    <w:rsid w:val="000D6F71"/>
    <w:rsid w:val="000E02CB"/>
    <w:rsid w:val="000E0BE6"/>
    <w:rsid w:val="000E28BC"/>
    <w:rsid w:val="000E2E7A"/>
    <w:rsid w:val="000E2ED9"/>
    <w:rsid w:val="000E2F94"/>
    <w:rsid w:val="000E301B"/>
    <w:rsid w:val="000E324B"/>
    <w:rsid w:val="000E3B20"/>
    <w:rsid w:val="000E4070"/>
    <w:rsid w:val="000E43AE"/>
    <w:rsid w:val="000E78F0"/>
    <w:rsid w:val="000E7AA7"/>
    <w:rsid w:val="000F0731"/>
    <w:rsid w:val="000F12C9"/>
    <w:rsid w:val="000F12F4"/>
    <w:rsid w:val="000F1370"/>
    <w:rsid w:val="000F2882"/>
    <w:rsid w:val="000F4A33"/>
    <w:rsid w:val="000F5C66"/>
    <w:rsid w:val="000F61E7"/>
    <w:rsid w:val="000F6904"/>
    <w:rsid w:val="000F6AB5"/>
    <w:rsid w:val="000F7D49"/>
    <w:rsid w:val="000F7DD6"/>
    <w:rsid w:val="001005DF"/>
    <w:rsid w:val="0010076C"/>
    <w:rsid w:val="00100EE5"/>
    <w:rsid w:val="00100F5F"/>
    <w:rsid w:val="00102250"/>
    <w:rsid w:val="001031FF"/>
    <w:rsid w:val="001035AB"/>
    <w:rsid w:val="00103BA8"/>
    <w:rsid w:val="00103CF8"/>
    <w:rsid w:val="00103D77"/>
    <w:rsid w:val="00103FB5"/>
    <w:rsid w:val="001048BD"/>
    <w:rsid w:val="0010536A"/>
    <w:rsid w:val="00105EF7"/>
    <w:rsid w:val="001063F5"/>
    <w:rsid w:val="00106409"/>
    <w:rsid w:val="0010761F"/>
    <w:rsid w:val="001102C8"/>
    <w:rsid w:val="00110A0C"/>
    <w:rsid w:val="00110B1B"/>
    <w:rsid w:val="0011191D"/>
    <w:rsid w:val="00111E7E"/>
    <w:rsid w:val="0011403D"/>
    <w:rsid w:val="001152BA"/>
    <w:rsid w:val="001159E4"/>
    <w:rsid w:val="00117B6D"/>
    <w:rsid w:val="0012071B"/>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60B7F"/>
    <w:rsid w:val="00160C63"/>
    <w:rsid w:val="001613CF"/>
    <w:rsid w:val="00162275"/>
    <w:rsid w:val="00163F2E"/>
    <w:rsid w:val="00164192"/>
    <w:rsid w:val="001643CE"/>
    <w:rsid w:val="00164C44"/>
    <w:rsid w:val="00164CD8"/>
    <w:rsid w:val="00165042"/>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D5E"/>
    <w:rsid w:val="00180EC7"/>
    <w:rsid w:val="00180F40"/>
    <w:rsid w:val="00181099"/>
    <w:rsid w:val="00182BEA"/>
    <w:rsid w:val="00182E43"/>
    <w:rsid w:val="001849A9"/>
    <w:rsid w:val="00185B77"/>
    <w:rsid w:val="00185DC7"/>
    <w:rsid w:val="0019052C"/>
    <w:rsid w:val="00190BA6"/>
    <w:rsid w:val="00193EC7"/>
    <w:rsid w:val="00194F8F"/>
    <w:rsid w:val="001953D2"/>
    <w:rsid w:val="0019579C"/>
    <w:rsid w:val="001958EC"/>
    <w:rsid w:val="00196386"/>
    <w:rsid w:val="00196412"/>
    <w:rsid w:val="00196B84"/>
    <w:rsid w:val="00197849"/>
    <w:rsid w:val="001A0B10"/>
    <w:rsid w:val="001A1041"/>
    <w:rsid w:val="001A156B"/>
    <w:rsid w:val="001A22A9"/>
    <w:rsid w:val="001A2922"/>
    <w:rsid w:val="001A52C7"/>
    <w:rsid w:val="001A5950"/>
    <w:rsid w:val="001A5A96"/>
    <w:rsid w:val="001A5B4E"/>
    <w:rsid w:val="001A6A37"/>
    <w:rsid w:val="001A75D5"/>
    <w:rsid w:val="001B0535"/>
    <w:rsid w:val="001B09D0"/>
    <w:rsid w:val="001B17A6"/>
    <w:rsid w:val="001B1892"/>
    <w:rsid w:val="001B1C84"/>
    <w:rsid w:val="001B256C"/>
    <w:rsid w:val="001B39AB"/>
    <w:rsid w:val="001B3DE7"/>
    <w:rsid w:val="001B421B"/>
    <w:rsid w:val="001B4DBC"/>
    <w:rsid w:val="001B6895"/>
    <w:rsid w:val="001B6AC3"/>
    <w:rsid w:val="001B77C9"/>
    <w:rsid w:val="001C1F6E"/>
    <w:rsid w:val="001C2BBB"/>
    <w:rsid w:val="001C32AC"/>
    <w:rsid w:val="001C35D0"/>
    <w:rsid w:val="001C39ED"/>
    <w:rsid w:val="001C44B0"/>
    <w:rsid w:val="001C4AF1"/>
    <w:rsid w:val="001C50E5"/>
    <w:rsid w:val="001C7CA9"/>
    <w:rsid w:val="001D013C"/>
    <w:rsid w:val="001D0394"/>
    <w:rsid w:val="001D084E"/>
    <w:rsid w:val="001D0903"/>
    <w:rsid w:val="001D097E"/>
    <w:rsid w:val="001D17B6"/>
    <w:rsid w:val="001D273E"/>
    <w:rsid w:val="001D2E75"/>
    <w:rsid w:val="001D36C8"/>
    <w:rsid w:val="001D4007"/>
    <w:rsid w:val="001D5364"/>
    <w:rsid w:val="001D5D2D"/>
    <w:rsid w:val="001D67DA"/>
    <w:rsid w:val="001D7109"/>
    <w:rsid w:val="001D7FA8"/>
    <w:rsid w:val="001E0931"/>
    <w:rsid w:val="001E0BB3"/>
    <w:rsid w:val="001E2AC5"/>
    <w:rsid w:val="001E38C1"/>
    <w:rsid w:val="001E40EC"/>
    <w:rsid w:val="001E4C31"/>
    <w:rsid w:val="001E5505"/>
    <w:rsid w:val="001E6A87"/>
    <w:rsid w:val="001E750D"/>
    <w:rsid w:val="001E7A0A"/>
    <w:rsid w:val="001E7C2B"/>
    <w:rsid w:val="001F2BAA"/>
    <w:rsid w:val="001F40F0"/>
    <w:rsid w:val="001F4743"/>
    <w:rsid w:val="001F5B17"/>
    <w:rsid w:val="001F5B8E"/>
    <w:rsid w:val="001F64A6"/>
    <w:rsid w:val="001F6AE0"/>
    <w:rsid w:val="001F6FAE"/>
    <w:rsid w:val="001F7525"/>
    <w:rsid w:val="001F7A1F"/>
    <w:rsid w:val="00200932"/>
    <w:rsid w:val="002012E5"/>
    <w:rsid w:val="00201B78"/>
    <w:rsid w:val="002042D0"/>
    <w:rsid w:val="00205B83"/>
    <w:rsid w:val="0020745F"/>
    <w:rsid w:val="00207AAA"/>
    <w:rsid w:val="00210B04"/>
    <w:rsid w:val="002112B2"/>
    <w:rsid w:val="002114E7"/>
    <w:rsid w:val="0021174D"/>
    <w:rsid w:val="00211C19"/>
    <w:rsid w:val="00211F0B"/>
    <w:rsid w:val="002138A6"/>
    <w:rsid w:val="002138D8"/>
    <w:rsid w:val="00214CBB"/>
    <w:rsid w:val="002151BF"/>
    <w:rsid w:val="00216353"/>
    <w:rsid w:val="0021639C"/>
    <w:rsid w:val="002165CD"/>
    <w:rsid w:val="00216F36"/>
    <w:rsid w:val="00221B76"/>
    <w:rsid w:val="00221BC7"/>
    <w:rsid w:val="00222097"/>
    <w:rsid w:val="00223CE3"/>
    <w:rsid w:val="00223DDB"/>
    <w:rsid w:val="00223F1D"/>
    <w:rsid w:val="002253A9"/>
    <w:rsid w:val="0022577D"/>
    <w:rsid w:val="00225D72"/>
    <w:rsid w:val="00225EB4"/>
    <w:rsid w:val="00225EDD"/>
    <w:rsid w:val="002269CF"/>
    <w:rsid w:val="00226D9F"/>
    <w:rsid w:val="00226DA6"/>
    <w:rsid w:val="00227012"/>
    <w:rsid w:val="00230469"/>
    <w:rsid w:val="00230540"/>
    <w:rsid w:val="00231420"/>
    <w:rsid w:val="00232AFD"/>
    <w:rsid w:val="00232F80"/>
    <w:rsid w:val="0023379F"/>
    <w:rsid w:val="00233991"/>
    <w:rsid w:val="00233B5D"/>
    <w:rsid w:val="00234DC2"/>
    <w:rsid w:val="00235086"/>
    <w:rsid w:val="00235712"/>
    <w:rsid w:val="00235793"/>
    <w:rsid w:val="002357DE"/>
    <w:rsid w:val="00235BA5"/>
    <w:rsid w:val="0023676E"/>
    <w:rsid w:val="00236B60"/>
    <w:rsid w:val="00237AC9"/>
    <w:rsid w:val="00240151"/>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6AD"/>
    <w:rsid w:val="00256C11"/>
    <w:rsid w:val="00256E1D"/>
    <w:rsid w:val="00257D2B"/>
    <w:rsid w:val="00257FD3"/>
    <w:rsid w:val="00260913"/>
    <w:rsid w:val="00261129"/>
    <w:rsid w:val="00261A05"/>
    <w:rsid w:val="00261AC8"/>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05"/>
    <w:rsid w:val="002776FE"/>
    <w:rsid w:val="0028065A"/>
    <w:rsid w:val="00281586"/>
    <w:rsid w:val="00281682"/>
    <w:rsid w:val="00281882"/>
    <w:rsid w:val="00281CB2"/>
    <w:rsid w:val="00283B7A"/>
    <w:rsid w:val="00284054"/>
    <w:rsid w:val="002842C7"/>
    <w:rsid w:val="00284618"/>
    <w:rsid w:val="00285948"/>
    <w:rsid w:val="00285C17"/>
    <w:rsid w:val="0028632C"/>
    <w:rsid w:val="0028780E"/>
    <w:rsid w:val="00287BBE"/>
    <w:rsid w:val="00291240"/>
    <w:rsid w:val="002920B5"/>
    <w:rsid w:val="002930D8"/>
    <w:rsid w:val="002933B0"/>
    <w:rsid w:val="0029417B"/>
    <w:rsid w:val="00294ADB"/>
    <w:rsid w:val="00295221"/>
    <w:rsid w:val="002957E2"/>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285"/>
    <w:rsid w:val="003032F6"/>
    <w:rsid w:val="0030392A"/>
    <w:rsid w:val="00303F4E"/>
    <w:rsid w:val="00304045"/>
    <w:rsid w:val="0030411D"/>
    <w:rsid w:val="003046ED"/>
    <w:rsid w:val="00304844"/>
    <w:rsid w:val="003049FE"/>
    <w:rsid w:val="00304F41"/>
    <w:rsid w:val="003052C3"/>
    <w:rsid w:val="003053D6"/>
    <w:rsid w:val="00305DC7"/>
    <w:rsid w:val="0030609D"/>
    <w:rsid w:val="00306349"/>
    <w:rsid w:val="00306515"/>
    <w:rsid w:val="00307B8E"/>
    <w:rsid w:val="00310F5D"/>
    <w:rsid w:val="00312EAA"/>
    <w:rsid w:val="00312FFE"/>
    <w:rsid w:val="00314638"/>
    <w:rsid w:val="0031518C"/>
    <w:rsid w:val="003158D8"/>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7F1"/>
    <w:rsid w:val="003366DE"/>
    <w:rsid w:val="00336766"/>
    <w:rsid w:val="0033728E"/>
    <w:rsid w:val="00337695"/>
    <w:rsid w:val="00337901"/>
    <w:rsid w:val="0034037D"/>
    <w:rsid w:val="00343889"/>
    <w:rsid w:val="00343F9B"/>
    <w:rsid w:val="003443A2"/>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D0"/>
    <w:rsid w:val="003560C1"/>
    <w:rsid w:val="003567FE"/>
    <w:rsid w:val="00360853"/>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CC3"/>
    <w:rsid w:val="003772FC"/>
    <w:rsid w:val="0037779B"/>
    <w:rsid w:val="00380197"/>
    <w:rsid w:val="0038049C"/>
    <w:rsid w:val="0038081D"/>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47E0"/>
    <w:rsid w:val="003A4867"/>
    <w:rsid w:val="003A65B9"/>
    <w:rsid w:val="003A7F2B"/>
    <w:rsid w:val="003B13C2"/>
    <w:rsid w:val="003B1F74"/>
    <w:rsid w:val="003B2650"/>
    <w:rsid w:val="003B3980"/>
    <w:rsid w:val="003B524B"/>
    <w:rsid w:val="003B5845"/>
    <w:rsid w:val="003B5B23"/>
    <w:rsid w:val="003B636D"/>
    <w:rsid w:val="003B6773"/>
    <w:rsid w:val="003B7B69"/>
    <w:rsid w:val="003C02C4"/>
    <w:rsid w:val="003C10C5"/>
    <w:rsid w:val="003C212F"/>
    <w:rsid w:val="003C239F"/>
    <w:rsid w:val="003C2E5D"/>
    <w:rsid w:val="003C592A"/>
    <w:rsid w:val="003C5C84"/>
    <w:rsid w:val="003C677E"/>
    <w:rsid w:val="003C6BA7"/>
    <w:rsid w:val="003C6D89"/>
    <w:rsid w:val="003D011F"/>
    <w:rsid w:val="003D0CBD"/>
    <w:rsid w:val="003D13E5"/>
    <w:rsid w:val="003D1B66"/>
    <w:rsid w:val="003D2977"/>
    <w:rsid w:val="003D33DC"/>
    <w:rsid w:val="003D3539"/>
    <w:rsid w:val="003D39B9"/>
    <w:rsid w:val="003D3FD4"/>
    <w:rsid w:val="003D4F5B"/>
    <w:rsid w:val="003D58CD"/>
    <w:rsid w:val="003D7D92"/>
    <w:rsid w:val="003D7E6B"/>
    <w:rsid w:val="003E035A"/>
    <w:rsid w:val="003E0386"/>
    <w:rsid w:val="003E0813"/>
    <w:rsid w:val="003E15D0"/>
    <w:rsid w:val="003E314D"/>
    <w:rsid w:val="003E327D"/>
    <w:rsid w:val="003E428B"/>
    <w:rsid w:val="003E48A4"/>
    <w:rsid w:val="003E62B2"/>
    <w:rsid w:val="003E6470"/>
    <w:rsid w:val="003E65D5"/>
    <w:rsid w:val="003F07AF"/>
    <w:rsid w:val="003F22E8"/>
    <w:rsid w:val="003F31A6"/>
    <w:rsid w:val="003F3716"/>
    <w:rsid w:val="003F3FA7"/>
    <w:rsid w:val="003F42D9"/>
    <w:rsid w:val="003F46FC"/>
    <w:rsid w:val="003F5F6A"/>
    <w:rsid w:val="003F60D2"/>
    <w:rsid w:val="003F640A"/>
    <w:rsid w:val="003F6B81"/>
    <w:rsid w:val="003F7857"/>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3C26"/>
    <w:rsid w:val="00424A51"/>
    <w:rsid w:val="00424B31"/>
    <w:rsid w:val="00425460"/>
    <w:rsid w:val="00425B2B"/>
    <w:rsid w:val="004264D4"/>
    <w:rsid w:val="00426768"/>
    <w:rsid w:val="004302A8"/>
    <w:rsid w:val="00434439"/>
    <w:rsid w:val="00434464"/>
    <w:rsid w:val="004344E3"/>
    <w:rsid w:val="00434DD5"/>
    <w:rsid w:val="004357CE"/>
    <w:rsid w:val="00436066"/>
    <w:rsid w:val="004362CF"/>
    <w:rsid w:val="004428D2"/>
    <w:rsid w:val="00442B84"/>
    <w:rsid w:val="004430C8"/>
    <w:rsid w:val="00443A78"/>
    <w:rsid w:val="00443ACE"/>
    <w:rsid w:val="00443EB6"/>
    <w:rsid w:val="00444A23"/>
    <w:rsid w:val="0044512A"/>
    <w:rsid w:val="0044622B"/>
    <w:rsid w:val="004462F3"/>
    <w:rsid w:val="00446ED3"/>
    <w:rsid w:val="004506C0"/>
    <w:rsid w:val="00450B58"/>
    <w:rsid w:val="00451AFF"/>
    <w:rsid w:val="004520D9"/>
    <w:rsid w:val="0045293E"/>
    <w:rsid w:val="00453155"/>
    <w:rsid w:val="00453C63"/>
    <w:rsid w:val="00454613"/>
    <w:rsid w:val="00456099"/>
    <w:rsid w:val="0045651B"/>
    <w:rsid w:val="00456632"/>
    <w:rsid w:val="004576BF"/>
    <w:rsid w:val="00457BD2"/>
    <w:rsid w:val="0046035C"/>
    <w:rsid w:val="00460586"/>
    <w:rsid w:val="0046069A"/>
    <w:rsid w:val="00460975"/>
    <w:rsid w:val="00460F99"/>
    <w:rsid w:val="00461AAD"/>
    <w:rsid w:val="004634EE"/>
    <w:rsid w:val="00463B4D"/>
    <w:rsid w:val="00465644"/>
    <w:rsid w:val="004665B3"/>
    <w:rsid w:val="00466C0F"/>
    <w:rsid w:val="00467A81"/>
    <w:rsid w:val="00470535"/>
    <w:rsid w:val="0047059E"/>
    <w:rsid w:val="00471968"/>
    <w:rsid w:val="00472189"/>
    <w:rsid w:val="00472C5C"/>
    <w:rsid w:val="00474260"/>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F17"/>
    <w:rsid w:val="00497075"/>
    <w:rsid w:val="00497779"/>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46C"/>
    <w:rsid w:val="004C7488"/>
    <w:rsid w:val="004C7D51"/>
    <w:rsid w:val="004D02AE"/>
    <w:rsid w:val="004D0D1C"/>
    <w:rsid w:val="004D123B"/>
    <w:rsid w:val="004D167B"/>
    <w:rsid w:val="004D1CFF"/>
    <w:rsid w:val="004D21C6"/>
    <w:rsid w:val="004D23A7"/>
    <w:rsid w:val="004D2BB4"/>
    <w:rsid w:val="004D4FD2"/>
    <w:rsid w:val="004E1F8B"/>
    <w:rsid w:val="004E4B3B"/>
    <w:rsid w:val="004E5627"/>
    <w:rsid w:val="004E5D60"/>
    <w:rsid w:val="004E7444"/>
    <w:rsid w:val="004F065A"/>
    <w:rsid w:val="004F1220"/>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36FB"/>
    <w:rsid w:val="00503DFB"/>
    <w:rsid w:val="00503E6D"/>
    <w:rsid w:val="00505A3A"/>
    <w:rsid w:val="005072E6"/>
    <w:rsid w:val="00510210"/>
    <w:rsid w:val="005107B7"/>
    <w:rsid w:val="00510D57"/>
    <w:rsid w:val="00510EFB"/>
    <w:rsid w:val="00511AF3"/>
    <w:rsid w:val="00512B1D"/>
    <w:rsid w:val="00512CAF"/>
    <w:rsid w:val="005146F6"/>
    <w:rsid w:val="005149E5"/>
    <w:rsid w:val="00514D3B"/>
    <w:rsid w:val="00514E32"/>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A79"/>
    <w:rsid w:val="00526C55"/>
    <w:rsid w:val="00526DF4"/>
    <w:rsid w:val="0052774D"/>
    <w:rsid w:val="005277F0"/>
    <w:rsid w:val="00530B89"/>
    <w:rsid w:val="00530DB1"/>
    <w:rsid w:val="00531420"/>
    <w:rsid w:val="005314B9"/>
    <w:rsid w:val="00531755"/>
    <w:rsid w:val="00531F9E"/>
    <w:rsid w:val="0053251E"/>
    <w:rsid w:val="0053284C"/>
    <w:rsid w:val="00532F47"/>
    <w:rsid w:val="00533A3C"/>
    <w:rsid w:val="00533BDF"/>
    <w:rsid w:val="00533CA0"/>
    <w:rsid w:val="00533EA7"/>
    <w:rsid w:val="00534AA1"/>
    <w:rsid w:val="005357D8"/>
    <w:rsid w:val="00535D80"/>
    <w:rsid w:val="00536263"/>
    <w:rsid w:val="00536740"/>
    <w:rsid w:val="00536BEA"/>
    <w:rsid w:val="00536F7D"/>
    <w:rsid w:val="00537BC6"/>
    <w:rsid w:val="005401CE"/>
    <w:rsid w:val="005432CE"/>
    <w:rsid w:val="00543442"/>
    <w:rsid w:val="00543CC0"/>
    <w:rsid w:val="00543FB6"/>
    <w:rsid w:val="00545C66"/>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12EC"/>
    <w:rsid w:val="00561C15"/>
    <w:rsid w:val="00562545"/>
    <w:rsid w:val="0056292A"/>
    <w:rsid w:val="005634F0"/>
    <w:rsid w:val="00564768"/>
    <w:rsid w:val="00566084"/>
    <w:rsid w:val="00566AAE"/>
    <w:rsid w:val="0057028E"/>
    <w:rsid w:val="0057140C"/>
    <w:rsid w:val="0057218E"/>
    <w:rsid w:val="00572F3B"/>
    <w:rsid w:val="00573B43"/>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F55"/>
    <w:rsid w:val="00587A5B"/>
    <w:rsid w:val="00591BAE"/>
    <w:rsid w:val="005930FB"/>
    <w:rsid w:val="00593BC4"/>
    <w:rsid w:val="0059489C"/>
    <w:rsid w:val="005948D2"/>
    <w:rsid w:val="0059577B"/>
    <w:rsid w:val="0059678E"/>
    <w:rsid w:val="005A0256"/>
    <w:rsid w:val="005A0504"/>
    <w:rsid w:val="005A072C"/>
    <w:rsid w:val="005A189B"/>
    <w:rsid w:val="005A20B7"/>
    <w:rsid w:val="005A364E"/>
    <w:rsid w:val="005A38D9"/>
    <w:rsid w:val="005A3928"/>
    <w:rsid w:val="005A3C2F"/>
    <w:rsid w:val="005A44FE"/>
    <w:rsid w:val="005A4F4D"/>
    <w:rsid w:val="005A7EBE"/>
    <w:rsid w:val="005B4CF3"/>
    <w:rsid w:val="005B5AE6"/>
    <w:rsid w:val="005B67C3"/>
    <w:rsid w:val="005B6D17"/>
    <w:rsid w:val="005B73EF"/>
    <w:rsid w:val="005B75F1"/>
    <w:rsid w:val="005B7817"/>
    <w:rsid w:val="005B7DFF"/>
    <w:rsid w:val="005C284C"/>
    <w:rsid w:val="005C2B16"/>
    <w:rsid w:val="005C332E"/>
    <w:rsid w:val="005C4A33"/>
    <w:rsid w:val="005C56B7"/>
    <w:rsid w:val="005C6229"/>
    <w:rsid w:val="005C69D7"/>
    <w:rsid w:val="005C6CF7"/>
    <w:rsid w:val="005C7420"/>
    <w:rsid w:val="005C7603"/>
    <w:rsid w:val="005D0044"/>
    <w:rsid w:val="005D0B09"/>
    <w:rsid w:val="005D15A9"/>
    <w:rsid w:val="005D28A2"/>
    <w:rsid w:val="005D691B"/>
    <w:rsid w:val="005E01BA"/>
    <w:rsid w:val="005E076E"/>
    <w:rsid w:val="005E0AEF"/>
    <w:rsid w:val="005E16C9"/>
    <w:rsid w:val="005E1977"/>
    <w:rsid w:val="005E22B2"/>
    <w:rsid w:val="005E2A82"/>
    <w:rsid w:val="005E4391"/>
    <w:rsid w:val="005E46DA"/>
    <w:rsid w:val="005E4712"/>
    <w:rsid w:val="005E5865"/>
    <w:rsid w:val="005E65DC"/>
    <w:rsid w:val="005E6F44"/>
    <w:rsid w:val="005E7838"/>
    <w:rsid w:val="005F1518"/>
    <w:rsid w:val="005F1B0E"/>
    <w:rsid w:val="005F2B9E"/>
    <w:rsid w:val="005F333E"/>
    <w:rsid w:val="005F3C4C"/>
    <w:rsid w:val="005F467C"/>
    <w:rsid w:val="005F4869"/>
    <w:rsid w:val="005F4B88"/>
    <w:rsid w:val="005F5CAC"/>
    <w:rsid w:val="005F79C6"/>
    <w:rsid w:val="005F7F1C"/>
    <w:rsid w:val="00600442"/>
    <w:rsid w:val="00600C46"/>
    <w:rsid w:val="00601CC8"/>
    <w:rsid w:val="00603C57"/>
    <w:rsid w:val="00604200"/>
    <w:rsid w:val="0060701F"/>
    <w:rsid w:val="00607904"/>
    <w:rsid w:val="00607C2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6896"/>
    <w:rsid w:val="00646AF5"/>
    <w:rsid w:val="0064793D"/>
    <w:rsid w:val="00647E42"/>
    <w:rsid w:val="00651777"/>
    <w:rsid w:val="006517C5"/>
    <w:rsid w:val="006518FD"/>
    <w:rsid w:val="006520AB"/>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3A9F"/>
    <w:rsid w:val="00663DEB"/>
    <w:rsid w:val="006648E0"/>
    <w:rsid w:val="00664DA8"/>
    <w:rsid w:val="00665123"/>
    <w:rsid w:val="00665EAB"/>
    <w:rsid w:val="00665F73"/>
    <w:rsid w:val="0066616A"/>
    <w:rsid w:val="0066653E"/>
    <w:rsid w:val="00666894"/>
    <w:rsid w:val="00667CFA"/>
    <w:rsid w:val="0067188B"/>
    <w:rsid w:val="00672319"/>
    <w:rsid w:val="00672FC3"/>
    <w:rsid w:val="006736E4"/>
    <w:rsid w:val="00673822"/>
    <w:rsid w:val="0067397A"/>
    <w:rsid w:val="00673C12"/>
    <w:rsid w:val="00674570"/>
    <w:rsid w:val="00674949"/>
    <w:rsid w:val="00674D85"/>
    <w:rsid w:val="006754B5"/>
    <w:rsid w:val="00676CED"/>
    <w:rsid w:val="0067726C"/>
    <w:rsid w:val="006803B9"/>
    <w:rsid w:val="00680FD6"/>
    <w:rsid w:val="006816C8"/>
    <w:rsid w:val="00681A70"/>
    <w:rsid w:val="00681D81"/>
    <w:rsid w:val="00681E0A"/>
    <w:rsid w:val="006823AA"/>
    <w:rsid w:val="00682737"/>
    <w:rsid w:val="00683BFC"/>
    <w:rsid w:val="006850D8"/>
    <w:rsid w:val="00685273"/>
    <w:rsid w:val="006858FF"/>
    <w:rsid w:val="00685D2C"/>
    <w:rsid w:val="00687104"/>
    <w:rsid w:val="00687A0D"/>
    <w:rsid w:val="00691594"/>
    <w:rsid w:val="00691FDD"/>
    <w:rsid w:val="0069266F"/>
    <w:rsid w:val="00692A43"/>
    <w:rsid w:val="00693BCD"/>
    <w:rsid w:val="00693CD3"/>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EFE"/>
    <w:rsid w:val="006A794E"/>
    <w:rsid w:val="006A7C2D"/>
    <w:rsid w:val="006A7CF0"/>
    <w:rsid w:val="006B063A"/>
    <w:rsid w:val="006B2097"/>
    <w:rsid w:val="006B2435"/>
    <w:rsid w:val="006B3F35"/>
    <w:rsid w:val="006B4530"/>
    <w:rsid w:val="006B53DD"/>
    <w:rsid w:val="006B6664"/>
    <w:rsid w:val="006B690E"/>
    <w:rsid w:val="006B6999"/>
    <w:rsid w:val="006C1F24"/>
    <w:rsid w:val="006C2ADE"/>
    <w:rsid w:val="006C2CC0"/>
    <w:rsid w:val="006C2E68"/>
    <w:rsid w:val="006C3008"/>
    <w:rsid w:val="006C3143"/>
    <w:rsid w:val="006C31B4"/>
    <w:rsid w:val="006C3578"/>
    <w:rsid w:val="006C4408"/>
    <w:rsid w:val="006D0C46"/>
    <w:rsid w:val="006D15C6"/>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38FA"/>
    <w:rsid w:val="006E438E"/>
    <w:rsid w:val="006E4486"/>
    <w:rsid w:val="006E4DD0"/>
    <w:rsid w:val="006E5335"/>
    <w:rsid w:val="006E5BF2"/>
    <w:rsid w:val="006E6C6F"/>
    <w:rsid w:val="006E724A"/>
    <w:rsid w:val="006E7306"/>
    <w:rsid w:val="006E73B3"/>
    <w:rsid w:val="006E7434"/>
    <w:rsid w:val="006F057F"/>
    <w:rsid w:val="006F0931"/>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3CCF"/>
    <w:rsid w:val="00703F29"/>
    <w:rsid w:val="007060DB"/>
    <w:rsid w:val="007068E0"/>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40A12"/>
    <w:rsid w:val="00741EE6"/>
    <w:rsid w:val="00742228"/>
    <w:rsid w:val="00742425"/>
    <w:rsid w:val="00742BCB"/>
    <w:rsid w:val="00742FB6"/>
    <w:rsid w:val="00743320"/>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B2B"/>
    <w:rsid w:val="00780D22"/>
    <w:rsid w:val="00780ECA"/>
    <w:rsid w:val="0078117C"/>
    <w:rsid w:val="007819B8"/>
    <w:rsid w:val="00782C85"/>
    <w:rsid w:val="007832D6"/>
    <w:rsid w:val="00783359"/>
    <w:rsid w:val="00783CF5"/>
    <w:rsid w:val="00784B5E"/>
    <w:rsid w:val="00785160"/>
    <w:rsid w:val="00785AA9"/>
    <w:rsid w:val="0078714D"/>
    <w:rsid w:val="00787495"/>
    <w:rsid w:val="00787AFE"/>
    <w:rsid w:val="00787B0D"/>
    <w:rsid w:val="00787E0F"/>
    <w:rsid w:val="007900EF"/>
    <w:rsid w:val="007901EA"/>
    <w:rsid w:val="0079091B"/>
    <w:rsid w:val="00791014"/>
    <w:rsid w:val="00792170"/>
    <w:rsid w:val="0079236C"/>
    <w:rsid w:val="0079252E"/>
    <w:rsid w:val="00792BF5"/>
    <w:rsid w:val="00792D01"/>
    <w:rsid w:val="007949A1"/>
    <w:rsid w:val="00794B23"/>
    <w:rsid w:val="00794FFD"/>
    <w:rsid w:val="00795C06"/>
    <w:rsid w:val="00796EDE"/>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F43"/>
    <w:rsid w:val="007D42E0"/>
    <w:rsid w:val="007D7293"/>
    <w:rsid w:val="007D782C"/>
    <w:rsid w:val="007D7DC6"/>
    <w:rsid w:val="007E0492"/>
    <w:rsid w:val="007E0FE6"/>
    <w:rsid w:val="007E1085"/>
    <w:rsid w:val="007E119B"/>
    <w:rsid w:val="007E1E16"/>
    <w:rsid w:val="007E1F75"/>
    <w:rsid w:val="007E20EE"/>
    <w:rsid w:val="007E233C"/>
    <w:rsid w:val="007E3173"/>
    <w:rsid w:val="007E3375"/>
    <w:rsid w:val="007E575C"/>
    <w:rsid w:val="007E6B08"/>
    <w:rsid w:val="007F03F8"/>
    <w:rsid w:val="007F04CE"/>
    <w:rsid w:val="007F2293"/>
    <w:rsid w:val="007F2389"/>
    <w:rsid w:val="007F272F"/>
    <w:rsid w:val="007F2FA9"/>
    <w:rsid w:val="007F3022"/>
    <w:rsid w:val="007F52FF"/>
    <w:rsid w:val="007F596C"/>
    <w:rsid w:val="0080027E"/>
    <w:rsid w:val="0080146D"/>
    <w:rsid w:val="00801523"/>
    <w:rsid w:val="00801E62"/>
    <w:rsid w:val="00802CCE"/>
    <w:rsid w:val="00803FE7"/>
    <w:rsid w:val="008048E7"/>
    <w:rsid w:val="008058D4"/>
    <w:rsid w:val="00805D8E"/>
    <w:rsid w:val="00806AC5"/>
    <w:rsid w:val="00806E7E"/>
    <w:rsid w:val="00807CF9"/>
    <w:rsid w:val="00811EFC"/>
    <w:rsid w:val="008123C1"/>
    <w:rsid w:val="00812B6C"/>
    <w:rsid w:val="00812FE1"/>
    <w:rsid w:val="00813F7C"/>
    <w:rsid w:val="0081448D"/>
    <w:rsid w:val="00814838"/>
    <w:rsid w:val="00816693"/>
    <w:rsid w:val="00817BD8"/>
    <w:rsid w:val="00821C6C"/>
    <w:rsid w:val="00821E2C"/>
    <w:rsid w:val="0082204D"/>
    <w:rsid w:val="00823020"/>
    <w:rsid w:val="008234F7"/>
    <w:rsid w:val="00824781"/>
    <w:rsid w:val="00824991"/>
    <w:rsid w:val="00824E19"/>
    <w:rsid w:val="00825224"/>
    <w:rsid w:val="0082558F"/>
    <w:rsid w:val="008265F6"/>
    <w:rsid w:val="00827658"/>
    <w:rsid w:val="00830E5D"/>
    <w:rsid w:val="008317D5"/>
    <w:rsid w:val="00831AF0"/>
    <w:rsid w:val="0083359E"/>
    <w:rsid w:val="0083462C"/>
    <w:rsid w:val="00834741"/>
    <w:rsid w:val="008348AD"/>
    <w:rsid w:val="008352AC"/>
    <w:rsid w:val="0083559E"/>
    <w:rsid w:val="008357E4"/>
    <w:rsid w:val="00835C8B"/>
    <w:rsid w:val="00837175"/>
    <w:rsid w:val="00840330"/>
    <w:rsid w:val="00841846"/>
    <w:rsid w:val="00841B0C"/>
    <w:rsid w:val="00841DC2"/>
    <w:rsid w:val="00841E61"/>
    <w:rsid w:val="00842739"/>
    <w:rsid w:val="008431E5"/>
    <w:rsid w:val="00844503"/>
    <w:rsid w:val="00844827"/>
    <w:rsid w:val="00845721"/>
    <w:rsid w:val="00845930"/>
    <w:rsid w:val="00845D73"/>
    <w:rsid w:val="00846069"/>
    <w:rsid w:val="00847B04"/>
    <w:rsid w:val="00847CF7"/>
    <w:rsid w:val="0085280E"/>
    <w:rsid w:val="008531DD"/>
    <w:rsid w:val="0085358F"/>
    <w:rsid w:val="0085447F"/>
    <w:rsid w:val="0085698B"/>
    <w:rsid w:val="008605CC"/>
    <w:rsid w:val="00861081"/>
    <w:rsid w:val="00861B66"/>
    <w:rsid w:val="008621F0"/>
    <w:rsid w:val="00862CC1"/>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D49"/>
    <w:rsid w:val="00882BE1"/>
    <w:rsid w:val="00885517"/>
    <w:rsid w:val="00885563"/>
    <w:rsid w:val="008866DA"/>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2B6F"/>
    <w:rsid w:val="008A3227"/>
    <w:rsid w:val="008A3CD2"/>
    <w:rsid w:val="008A54E2"/>
    <w:rsid w:val="008A5618"/>
    <w:rsid w:val="008A564C"/>
    <w:rsid w:val="008A5BDD"/>
    <w:rsid w:val="008A5C7A"/>
    <w:rsid w:val="008A6936"/>
    <w:rsid w:val="008B0CC4"/>
    <w:rsid w:val="008B1D39"/>
    <w:rsid w:val="008B39A2"/>
    <w:rsid w:val="008B4AB8"/>
    <w:rsid w:val="008B509B"/>
    <w:rsid w:val="008B634E"/>
    <w:rsid w:val="008B702B"/>
    <w:rsid w:val="008B7246"/>
    <w:rsid w:val="008C034E"/>
    <w:rsid w:val="008C06FF"/>
    <w:rsid w:val="008C1017"/>
    <w:rsid w:val="008C1FAA"/>
    <w:rsid w:val="008C31B1"/>
    <w:rsid w:val="008C578C"/>
    <w:rsid w:val="008C5C7F"/>
    <w:rsid w:val="008C71A1"/>
    <w:rsid w:val="008C76F4"/>
    <w:rsid w:val="008D0B7E"/>
    <w:rsid w:val="008D1966"/>
    <w:rsid w:val="008D1D10"/>
    <w:rsid w:val="008D2246"/>
    <w:rsid w:val="008D299B"/>
    <w:rsid w:val="008D3504"/>
    <w:rsid w:val="008D4988"/>
    <w:rsid w:val="008D49E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C3F"/>
    <w:rsid w:val="0090119A"/>
    <w:rsid w:val="0090149B"/>
    <w:rsid w:val="0090157F"/>
    <w:rsid w:val="00901A0F"/>
    <w:rsid w:val="00903D10"/>
    <w:rsid w:val="009042DA"/>
    <w:rsid w:val="00904C3B"/>
    <w:rsid w:val="00904DD3"/>
    <w:rsid w:val="00905813"/>
    <w:rsid w:val="009060F6"/>
    <w:rsid w:val="00906F8E"/>
    <w:rsid w:val="00907418"/>
    <w:rsid w:val="00910D43"/>
    <w:rsid w:val="009110E5"/>
    <w:rsid w:val="00911A64"/>
    <w:rsid w:val="009124F8"/>
    <w:rsid w:val="00913218"/>
    <w:rsid w:val="00913482"/>
    <w:rsid w:val="009139A5"/>
    <w:rsid w:val="00913A82"/>
    <w:rsid w:val="0091481D"/>
    <w:rsid w:val="00914D1E"/>
    <w:rsid w:val="0091573A"/>
    <w:rsid w:val="00915806"/>
    <w:rsid w:val="00915BED"/>
    <w:rsid w:val="009160F8"/>
    <w:rsid w:val="00916BD0"/>
    <w:rsid w:val="00916CAF"/>
    <w:rsid w:val="009170B6"/>
    <w:rsid w:val="009175E0"/>
    <w:rsid w:val="00920CD2"/>
    <w:rsid w:val="00922483"/>
    <w:rsid w:val="009226F7"/>
    <w:rsid w:val="009227F2"/>
    <w:rsid w:val="0092371D"/>
    <w:rsid w:val="009238D7"/>
    <w:rsid w:val="0092392B"/>
    <w:rsid w:val="009240B1"/>
    <w:rsid w:val="00924720"/>
    <w:rsid w:val="00924DAC"/>
    <w:rsid w:val="00927400"/>
    <w:rsid w:val="00927564"/>
    <w:rsid w:val="00927F4E"/>
    <w:rsid w:val="00932D13"/>
    <w:rsid w:val="0093358D"/>
    <w:rsid w:val="00935F13"/>
    <w:rsid w:val="0093635E"/>
    <w:rsid w:val="00936C7C"/>
    <w:rsid w:val="00940190"/>
    <w:rsid w:val="00940267"/>
    <w:rsid w:val="0094032D"/>
    <w:rsid w:val="00940B75"/>
    <w:rsid w:val="00940C40"/>
    <w:rsid w:val="00942033"/>
    <w:rsid w:val="0094344A"/>
    <w:rsid w:val="00943FED"/>
    <w:rsid w:val="0094483B"/>
    <w:rsid w:val="00945168"/>
    <w:rsid w:val="00945640"/>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251D"/>
    <w:rsid w:val="009630F3"/>
    <w:rsid w:val="00963E57"/>
    <w:rsid w:val="00964220"/>
    <w:rsid w:val="009651B9"/>
    <w:rsid w:val="00965986"/>
    <w:rsid w:val="00965BC9"/>
    <w:rsid w:val="00965F9E"/>
    <w:rsid w:val="00966940"/>
    <w:rsid w:val="009678A4"/>
    <w:rsid w:val="00970A75"/>
    <w:rsid w:val="00970DD5"/>
    <w:rsid w:val="00970F0B"/>
    <w:rsid w:val="00971700"/>
    <w:rsid w:val="009733F8"/>
    <w:rsid w:val="00973867"/>
    <w:rsid w:val="00974452"/>
    <w:rsid w:val="00975A3D"/>
    <w:rsid w:val="00975E0F"/>
    <w:rsid w:val="00975E86"/>
    <w:rsid w:val="00980A6A"/>
    <w:rsid w:val="009811C8"/>
    <w:rsid w:val="0098186E"/>
    <w:rsid w:val="00982017"/>
    <w:rsid w:val="00982C61"/>
    <w:rsid w:val="00982F8F"/>
    <w:rsid w:val="009839AC"/>
    <w:rsid w:val="00986E7B"/>
    <w:rsid w:val="00987501"/>
    <w:rsid w:val="00987BF2"/>
    <w:rsid w:val="00990C20"/>
    <w:rsid w:val="009930A0"/>
    <w:rsid w:val="00994177"/>
    <w:rsid w:val="0099596C"/>
    <w:rsid w:val="009966D4"/>
    <w:rsid w:val="0099799F"/>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A7FAB"/>
    <w:rsid w:val="009B14B6"/>
    <w:rsid w:val="009B1867"/>
    <w:rsid w:val="009B24E7"/>
    <w:rsid w:val="009B2B14"/>
    <w:rsid w:val="009B353C"/>
    <w:rsid w:val="009B48D5"/>
    <w:rsid w:val="009B4916"/>
    <w:rsid w:val="009B4A5C"/>
    <w:rsid w:val="009B53BE"/>
    <w:rsid w:val="009B5EC4"/>
    <w:rsid w:val="009B6440"/>
    <w:rsid w:val="009B6EF6"/>
    <w:rsid w:val="009B7B74"/>
    <w:rsid w:val="009B7F0D"/>
    <w:rsid w:val="009C28A6"/>
    <w:rsid w:val="009C3492"/>
    <w:rsid w:val="009C3A87"/>
    <w:rsid w:val="009C48CA"/>
    <w:rsid w:val="009C4F42"/>
    <w:rsid w:val="009C501A"/>
    <w:rsid w:val="009C5101"/>
    <w:rsid w:val="009C62D8"/>
    <w:rsid w:val="009C6A44"/>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A18"/>
    <w:rsid w:val="009D783D"/>
    <w:rsid w:val="009E17F0"/>
    <w:rsid w:val="009E1F1C"/>
    <w:rsid w:val="009E2868"/>
    <w:rsid w:val="009E33E2"/>
    <w:rsid w:val="009E3637"/>
    <w:rsid w:val="009E3D9A"/>
    <w:rsid w:val="009E4A75"/>
    <w:rsid w:val="009E7B9C"/>
    <w:rsid w:val="009F1AEB"/>
    <w:rsid w:val="009F2910"/>
    <w:rsid w:val="009F2A41"/>
    <w:rsid w:val="009F2ADE"/>
    <w:rsid w:val="009F3033"/>
    <w:rsid w:val="009F4856"/>
    <w:rsid w:val="009F5C8E"/>
    <w:rsid w:val="009F6C4D"/>
    <w:rsid w:val="009F75BA"/>
    <w:rsid w:val="00A00AAD"/>
    <w:rsid w:val="00A01535"/>
    <w:rsid w:val="00A019AB"/>
    <w:rsid w:val="00A01C56"/>
    <w:rsid w:val="00A022D0"/>
    <w:rsid w:val="00A02B60"/>
    <w:rsid w:val="00A02DD6"/>
    <w:rsid w:val="00A02E32"/>
    <w:rsid w:val="00A031D6"/>
    <w:rsid w:val="00A046F5"/>
    <w:rsid w:val="00A04B27"/>
    <w:rsid w:val="00A05571"/>
    <w:rsid w:val="00A05911"/>
    <w:rsid w:val="00A0645C"/>
    <w:rsid w:val="00A064B0"/>
    <w:rsid w:val="00A06A0B"/>
    <w:rsid w:val="00A07BA9"/>
    <w:rsid w:val="00A10595"/>
    <w:rsid w:val="00A10A40"/>
    <w:rsid w:val="00A10B3A"/>
    <w:rsid w:val="00A115BA"/>
    <w:rsid w:val="00A11658"/>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1EE"/>
    <w:rsid w:val="00A2491F"/>
    <w:rsid w:val="00A2493F"/>
    <w:rsid w:val="00A27B7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E5D"/>
    <w:rsid w:val="00A442B5"/>
    <w:rsid w:val="00A47201"/>
    <w:rsid w:val="00A47647"/>
    <w:rsid w:val="00A47D73"/>
    <w:rsid w:val="00A5004F"/>
    <w:rsid w:val="00A51A36"/>
    <w:rsid w:val="00A5256D"/>
    <w:rsid w:val="00A53B3B"/>
    <w:rsid w:val="00A54075"/>
    <w:rsid w:val="00A54F1B"/>
    <w:rsid w:val="00A54FEB"/>
    <w:rsid w:val="00A56525"/>
    <w:rsid w:val="00A566F5"/>
    <w:rsid w:val="00A56704"/>
    <w:rsid w:val="00A56D67"/>
    <w:rsid w:val="00A57325"/>
    <w:rsid w:val="00A60358"/>
    <w:rsid w:val="00A60823"/>
    <w:rsid w:val="00A63BA9"/>
    <w:rsid w:val="00A63C9E"/>
    <w:rsid w:val="00A64636"/>
    <w:rsid w:val="00A654B7"/>
    <w:rsid w:val="00A65AE9"/>
    <w:rsid w:val="00A65CF1"/>
    <w:rsid w:val="00A672AB"/>
    <w:rsid w:val="00A67A77"/>
    <w:rsid w:val="00A70346"/>
    <w:rsid w:val="00A707AE"/>
    <w:rsid w:val="00A70FAA"/>
    <w:rsid w:val="00A71615"/>
    <w:rsid w:val="00A72274"/>
    <w:rsid w:val="00A72779"/>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7097"/>
    <w:rsid w:val="00A871F2"/>
    <w:rsid w:val="00A8722B"/>
    <w:rsid w:val="00A87525"/>
    <w:rsid w:val="00A87A26"/>
    <w:rsid w:val="00A87C2B"/>
    <w:rsid w:val="00A901EE"/>
    <w:rsid w:val="00A90BA8"/>
    <w:rsid w:val="00A90E00"/>
    <w:rsid w:val="00A91DC6"/>
    <w:rsid w:val="00A922C3"/>
    <w:rsid w:val="00A9244A"/>
    <w:rsid w:val="00A93231"/>
    <w:rsid w:val="00A932EC"/>
    <w:rsid w:val="00A9355C"/>
    <w:rsid w:val="00A937DE"/>
    <w:rsid w:val="00A9389A"/>
    <w:rsid w:val="00A95AB8"/>
    <w:rsid w:val="00A95B50"/>
    <w:rsid w:val="00A95F64"/>
    <w:rsid w:val="00A96171"/>
    <w:rsid w:val="00AA0881"/>
    <w:rsid w:val="00AA08BA"/>
    <w:rsid w:val="00AA0BB3"/>
    <w:rsid w:val="00AA15D2"/>
    <w:rsid w:val="00AA1890"/>
    <w:rsid w:val="00AA1E10"/>
    <w:rsid w:val="00AA21A2"/>
    <w:rsid w:val="00AA2706"/>
    <w:rsid w:val="00AA37CA"/>
    <w:rsid w:val="00AA391B"/>
    <w:rsid w:val="00AA3AA1"/>
    <w:rsid w:val="00AA4152"/>
    <w:rsid w:val="00AA4BD0"/>
    <w:rsid w:val="00AA51AA"/>
    <w:rsid w:val="00AA556C"/>
    <w:rsid w:val="00AA5B46"/>
    <w:rsid w:val="00AA5E18"/>
    <w:rsid w:val="00AA60A8"/>
    <w:rsid w:val="00AA60B3"/>
    <w:rsid w:val="00AA645A"/>
    <w:rsid w:val="00AA67F3"/>
    <w:rsid w:val="00AA6814"/>
    <w:rsid w:val="00AB0BFA"/>
    <w:rsid w:val="00AB0ED5"/>
    <w:rsid w:val="00AB2120"/>
    <w:rsid w:val="00AB2E93"/>
    <w:rsid w:val="00AB3212"/>
    <w:rsid w:val="00AB581A"/>
    <w:rsid w:val="00AB5A59"/>
    <w:rsid w:val="00AB5B30"/>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D01DF"/>
    <w:rsid w:val="00AD18E3"/>
    <w:rsid w:val="00AD299C"/>
    <w:rsid w:val="00AD63F0"/>
    <w:rsid w:val="00AD7193"/>
    <w:rsid w:val="00AD7F26"/>
    <w:rsid w:val="00AE0201"/>
    <w:rsid w:val="00AE08C3"/>
    <w:rsid w:val="00AE0D0C"/>
    <w:rsid w:val="00AE1EC9"/>
    <w:rsid w:val="00AE29F0"/>
    <w:rsid w:val="00AE4280"/>
    <w:rsid w:val="00AE4408"/>
    <w:rsid w:val="00AE46CC"/>
    <w:rsid w:val="00AE521D"/>
    <w:rsid w:val="00AE5B11"/>
    <w:rsid w:val="00AE5C4D"/>
    <w:rsid w:val="00AE6018"/>
    <w:rsid w:val="00AE7701"/>
    <w:rsid w:val="00AF06AB"/>
    <w:rsid w:val="00AF2482"/>
    <w:rsid w:val="00AF342C"/>
    <w:rsid w:val="00AF3519"/>
    <w:rsid w:val="00AF3AA6"/>
    <w:rsid w:val="00AF3DA9"/>
    <w:rsid w:val="00AF5FD6"/>
    <w:rsid w:val="00AF6539"/>
    <w:rsid w:val="00AF68A5"/>
    <w:rsid w:val="00AF69DF"/>
    <w:rsid w:val="00AF6F48"/>
    <w:rsid w:val="00AF7A91"/>
    <w:rsid w:val="00B0037A"/>
    <w:rsid w:val="00B00454"/>
    <w:rsid w:val="00B01195"/>
    <w:rsid w:val="00B0173F"/>
    <w:rsid w:val="00B028D8"/>
    <w:rsid w:val="00B0292D"/>
    <w:rsid w:val="00B033C3"/>
    <w:rsid w:val="00B035C3"/>
    <w:rsid w:val="00B05DC0"/>
    <w:rsid w:val="00B0629E"/>
    <w:rsid w:val="00B0651F"/>
    <w:rsid w:val="00B0760E"/>
    <w:rsid w:val="00B104A6"/>
    <w:rsid w:val="00B10D32"/>
    <w:rsid w:val="00B10D49"/>
    <w:rsid w:val="00B10FC4"/>
    <w:rsid w:val="00B11B13"/>
    <w:rsid w:val="00B11CD3"/>
    <w:rsid w:val="00B1213A"/>
    <w:rsid w:val="00B123F1"/>
    <w:rsid w:val="00B12C9D"/>
    <w:rsid w:val="00B12E6D"/>
    <w:rsid w:val="00B13921"/>
    <w:rsid w:val="00B13AC9"/>
    <w:rsid w:val="00B13E8A"/>
    <w:rsid w:val="00B1469A"/>
    <w:rsid w:val="00B20AA3"/>
    <w:rsid w:val="00B2176C"/>
    <w:rsid w:val="00B21B09"/>
    <w:rsid w:val="00B221E9"/>
    <w:rsid w:val="00B22897"/>
    <w:rsid w:val="00B237D7"/>
    <w:rsid w:val="00B238F7"/>
    <w:rsid w:val="00B23AEE"/>
    <w:rsid w:val="00B245E7"/>
    <w:rsid w:val="00B250D1"/>
    <w:rsid w:val="00B26693"/>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9DD"/>
    <w:rsid w:val="00B572CF"/>
    <w:rsid w:val="00B57AD8"/>
    <w:rsid w:val="00B60309"/>
    <w:rsid w:val="00B60324"/>
    <w:rsid w:val="00B60756"/>
    <w:rsid w:val="00B6182E"/>
    <w:rsid w:val="00B61F46"/>
    <w:rsid w:val="00B62A83"/>
    <w:rsid w:val="00B62C3D"/>
    <w:rsid w:val="00B6346D"/>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6131"/>
    <w:rsid w:val="00B862FE"/>
    <w:rsid w:val="00B86F98"/>
    <w:rsid w:val="00B87910"/>
    <w:rsid w:val="00B904B1"/>
    <w:rsid w:val="00B90790"/>
    <w:rsid w:val="00B91355"/>
    <w:rsid w:val="00B91C7A"/>
    <w:rsid w:val="00B921EF"/>
    <w:rsid w:val="00B922AE"/>
    <w:rsid w:val="00B922E7"/>
    <w:rsid w:val="00B928B5"/>
    <w:rsid w:val="00B93C4F"/>
    <w:rsid w:val="00B9424C"/>
    <w:rsid w:val="00B951E6"/>
    <w:rsid w:val="00B960D1"/>
    <w:rsid w:val="00B971E7"/>
    <w:rsid w:val="00BA090E"/>
    <w:rsid w:val="00BA0F17"/>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5ABF"/>
    <w:rsid w:val="00BB65E2"/>
    <w:rsid w:val="00BB7028"/>
    <w:rsid w:val="00BB765E"/>
    <w:rsid w:val="00BC0961"/>
    <w:rsid w:val="00BC1E1E"/>
    <w:rsid w:val="00BC3F84"/>
    <w:rsid w:val="00BC53CD"/>
    <w:rsid w:val="00BC5502"/>
    <w:rsid w:val="00BC59B1"/>
    <w:rsid w:val="00BC7F72"/>
    <w:rsid w:val="00BC7F8D"/>
    <w:rsid w:val="00BC7FF0"/>
    <w:rsid w:val="00BD0282"/>
    <w:rsid w:val="00BD1754"/>
    <w:rsid w:val="00BD1775"/>
    <w:rsid w:val="00BD2063"/>
    <w:rsid w:val="00BD292F"/>
    <w:rsid w:val="00BD3E8F"/>
    <w:rsid w:val="00BD4D8C"/>
    <w:rsid w:val="00BD51A2"/>
    <w:rsid w:val="00BD548C"/>
    <w:rsid w:val="00BD5566"/>
    <w:rsid w:val="00BD75E6"/>
    <w:rsid w:val="00BE138D"/>
    <w:rsid w:val="00BE19C6"/>
    <w:rsid w:val="00BE1D2F"/>
    <w:rsid w:val="00BE3458"/>
    <w:rsid w:val="00BE3750"/>
    <w:rsid w:val="00BE39FA"/>
    <w:rsid w:val="00BE3A0A"/>
    <w:rsid w:val="00BE48B0"/>
    <w:rsid w:val="00BE4958"/>
    <w:rsid w:val="00BE50F5"/>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6204"/>
    <w:rsid w:val="00BF6428"/>
    <w:rsid w:val="00BF69C1"/>
    <w:rsid w:val="00BF6DA9"/>
    <w:rsid w:val="00BF74D7"/>
    <w:rsid w:val="00C00752"/>
    <w:rsid w:val="00C01279"/>
    <w:rsid w:val="00C01840"/>
    <w:rsid w:val="00C0216C"/>
    <w:rsid w:val="00C042D3"/>
    <w:rsid w:val="00C052D2"/>
    <w:rsid w:val="00C05671"/>
    <w:rsid w:val="00C05B5A"/>
    <w:rsid w:val="00C11239"/>
    <w:rsid w:val="00C117E9"/>
    <w:rsid w:val="00C124E1"/>
    <w:rsid w:val="00C12F66"/>
    <w:rsid w:val="00C149E1"/>
    <w:rsid w:val="00C14B94"/>
    <w:rsid w:val="00C15FFE"/>
    <w:rsid w:val="00C16522"/>
    <w:rsid w:val="00C16A4C"/>
    <w:rsid w:val="00C21FC8"/>
    <w:rsid w:val="00C2244E"/>
    <w:rsid w:val="00C229E3"/>
    <w:rsid w:val="00C2509A"/>
    <w:rsid w:val="00C26A88"/>
    <w:rsid w:val="00C271BA"/>
    <w:rsid w:val="00C30BC3"/>
    <w:rsid w:val="00C3190C"/>
    <w:rsid w:val="00C32B42"/>
    <w:rsid w:val="00C335B2"/>
    <w:rsid w:val="00C34B0E"/>
    <w:rsid w:val="00C34E75"/>
    <w:rsid w:val="00C350BD"/>
    <w:rsid w:val="00C35AFC"/>
    <w:rsid w:val="00C364B2"/>
    <w:rsid w:val="00C3669A"/>
    <w:rsid w:val="00C36C14"/>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050E"/>
    <w:rsid w:val="00C54AE9"/>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30C5"/>
    <w:rsid w:val="00C73907"/>
    <w:rsid w:val="00C7401F"/>
    <w:rsid w:val="00C75CD3"/>
    <w:rsid w:val="00C760E2"/>
    <w:rsid w:val="00C76249"/>
    <w:rsid w:val="00C767B4"/>
    <w:rsid w:val="00C76B98"/>
    <w:rsid w:val="00C76C92"/>
    <w:rsid w:val="00C77974"/>
    <w:rsid w:val="00C80B6C"/>
    <w:rsid w:val="00C8165E"/>
    <w:rsid w:val="00C81DDE"/>
    <w:rsid w:val="00C8265F"/>
    <w:rsid w:val="00C826EA"/>
    <w:rsid w:val="00C82A99"/>
    <w:rsid w:val="00C82EAB"/>
    <w:rsid w:val="00C836E3"/>
    <w:rsid w:val="00C84314"/>
    <w:rsid w:val="00C85146"/>
    <w:rsid w:val="00C85A4A"/>
    <w:rsid w:val="00C86602"/>
    <w:rsid w:val="00C900D9"/>
    <w:rsid w:val="00C917BC"/>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AD"/>
    <w:rsid w:val="00CA3ECE"/>
    <w:rsid w:val="00CA4B91"/>
    <w:rsid w:val="00CA63CF"/>
    <w:rsid w:val="00CA6E86"/>
    <w:rsid w:val="00CA71F5"/>
    <w:rsid w:val="00CA7B5B"/>
    <w:rsid w:val="00CA7EEE"/>
    <w:rsid w:val="00CB0D80"/>
    <w:rsid w:val="00CB1F7C"/>
    <w:rsid w:val="00CB205C"/>
    <w:rsid w:val="00CB2804"/>
    <w:rsid w:val="00CB2CC0"/>
    <w:rsid w:val="00CB4FB2"/>
    <w:rsid w:val="00CB52BB"/>
    <w:rsid w:val="00CB5679"/>
    <w:rsid w:val="00CB60C3"/>
    <w:rsid w:val="00CB689A"/>
    <w:rsid w:val="00CB7306"/>
    <w:rsid w:val="00CC0E29"/>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41E7"/>
    <w:rsid w:val="00CD64FF"/>
    <w:rsid w:val="00CD658A"/>
    <w:rsid w:val="00CD678A"/>
    <w:rsid w:val="00CD7458"/>
    <w:rsid w:val="00CE07DA"/>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65EC"/>
    <w:rsid w:val="00D067BC"/>
    <w:rsid w:val="00D06815"/>
    <w:rsid w:val="00D06F5C"/>
    <w:rsid w:val="00D07537"/>
    <w:rsid w:val="00D07566"/>
    <w:rsid w:val="00D1224A"/>
    <w:rsid w:val="00D128DC"/>
    <w:rsid w:val="00D12D59"/>
    <w:rsid w:val="00D1399F"/>
    <w:rsid w:val="00D139F9"/>
    <w:rsid w:val="00D1451A"/>
    <w:rsid w:val="00D15934"/>
    <w:rsid w:val="00D1704F"/>
    <w:rsid w:val="00D17A1E"/>
    <w:rsid w:val="00D17C0F"/>
    <w:rsid w:val="00D17F1C"/>
    <w:rsid w:val="00D17FBC"/>
    <w:rsid w:val="00D20BA7"/>
    <w:rsid w:val="00D20C91"/>
    <w:rsid w:val="00D21187"/>
    <w:rsid w:val="00D21974"/>
    <w:rsid w:val="00D21FD4"/>
    <w:rsid w:val="00D22565"/>
    <w:rsid w:val="00D227EE"/>
    <w:rsid w:val="00D22FE3"/>
    <w:rsid w:val="00D2424D"/>
    <w:rsid w:val="00D245B5"/>
    <w:rsid w:val="00D2488D"/>
    <w:rsid w:val="00D24A5C"/>
    <w:rsid w:val="00D2518A"/>
    <w:rsid w:val="00D25972"/>
    <w:rsid w:val="00D272D2"/>
    <w:rsid w:val="00D27571"/>
    <w:rsid w:val="00D27F47"/>
    <w:rsid w:val="00D30598"/>
    <w:rsid w:val="00D30C0D"/>
    <w:rsid w:val="00D30D7C"/>
    <w:rsid w:val="00D3101C"/>
    <w:rsid w:val="00D321FA"/>
    <w:rsid w:val="00D32685"/>
    <w:rsid w:val="00D337D0"/>
    <w:rsid w:val="00D33F26"/>
    <w:rsid w:val="00D345DA"/>
    <w:rsid w:val="00D35095"/>
    <w:rsid w:val="00D35168"/>
    <w:rsid w:val="00D36512"/>
    <w:rsid w:val="00D36753"/>
    <w:rsid w:val="00D36C0D"/>
    <w:rsid w:val="00D36F4B"/>
    <w:rsid w:val="00D3707B"/>
    <w:rsid w:val="00D372A6"/>
    <w:rsid w:val="00D373D5"/>
    <w:rsid w:val="00D37588"/>
    <w:rsid w:val="00D403EA"/>
    <w:rsid w:val="00D40E08"/>
    <w:rsid w:val="00D42551"/>
    <w:rsid w:val="00D43E97"/>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6E7"/>
    <w:rsid w:val="00D72C50"/>
    <w:rsid w:val="00D72CE7"/>
    <w:rsid w:val="00D73B9F"/>
    <w:rsid w:val="00D748AC"/>
    <w:rsid w:val="00D74A20"/>
    <w:rsid w:val="00D75A2E"/>
    <w:rsid w:val="00D7696F"/>
    <w:rsid w:val="00D80272"/>
    <w:rsid w:val="00D80A9B"/>
    <w:rsid w:val="00D811CA"/>
    <w:rsid w:val="00D81ABD"/>
    <w:rsid w:val="00D83F47"/>
    <w:rsid w:val="00D86543"/>
    <w:rsid w:val="00D86CC3"/>
    <w:rsid w:val="00D872A5"/>
    <w:rsid w:val="00D87B48"/>
    <w:rsid w:val="00D90558"/>
    <w:rsid w:val="00D90AE7"/>
    <w:rsid w:val="00D91744"/>
    <w:rsid w:val="00D92329"/>
    <w:rsid w:val="00D92BFB"/>
    <w:rsid w:val="00D930AC"/>
    <w:rsid w:val="00D9350A"/>
    <w:rsid w:val="00D9567D"/>
    <w:rsid w:val="00D956C4"/>
    <w:rsid w:val="00D95D43"/>
    <w:rsid w:val="00D9644A"/>
    <w:rsid w:val="00D966EB"/>
    <w:rsid w:val="00D96E17"/>
    <w:rsid w:val="00D96E84"/>
    <w:rsid w:val="00D97E6B"/>
    <w:rsid w:val="00DA0BC0"/>
    <w:rsid w:val="00DA166B"/>
    <w:rsid w:val="00DA1890"/>
    <w:rsid w:val="00DA3425"/>
    <w:rsid w:val="00DA3BCD"/>
    <w:rsid w:val="00DA6837"/>
    <w:rsid w:val="00DB05FB"/>
    <w:rsid w:val="00DB1053"/>
    <w:rsid w:val="00DB1E7D"/>
    <w:rsid w:val="00DB2D9D"/>
    <w:rsid w:val="00DB33B2"/>
    <w:rsid w:val="00DB49D8"/>
    <w:rsid w:val="00DB4AFC"/>
    <w:rsid w:val="00DB58F8"/>
    <w:rsid w:val="00DB610C"/>
    <w:rsid w:val="00DB7331"/>
    <w:rsid w:val="00DB7840"/>
    <w:rsid w:val="00DB7A95"/>
    <w:rsid w:val="00DB7B88"/>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BA"/>
    <w:rsid w:val="00DD0A48"/>
    <w:rsid w:val="00DD14D2"/>
    <w:rsid w:val="00DD1777"/>
    <w:rsid w:val="00DD17EE"/>
    <w:rsid w:val="00DD1FF5"/>
    <w:rsid w:val="00DD373C"/>
    <w:rsid w:val="00DD41A3"/>
    <w:rsid w:val="00DD52A9"/>
    <w:rsid w:val="00DD6CF7"/>
    <w:rsid w:val="00DD711B"/>
    <w:rsid w:val="00DE100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455A"/>
    <w:rsid w:val="00E0467E"/>
    <w:rsid w:val="00E063B8"/>
    <w:rsid w:val="00E06441"/>
    <w:rsid w:val="00E07351"/>
    <w:rsid w:val="00E1062D"/>
    <w:rsid w:val="00E10AFC"/>
    <w:rsid w:val="00E10CBB"/>
    <w:rsid w:val="00E10CCA"/>
    <w:rsid w:val="00E10E0A"/>
    <w:rsid w:val="00E11D66"/>
    <w:rsid w:val="00E162AA"/>
    <w:rsid w:val="00E16AFF"/>
    <w:rsid w:val="00E17F20"/>
    <w:rsid w:val="00E20859"/>
    <w:rsid w:val="00E2292C"/>
    <w:rsid w:val="00E23034"/>
    <w:rsid w:val="00E242B1"/>
    <w:rsid w:val="00E24A5C"/>
    <w:rsid w:val="00E24D20"/>
    <w:rsid w:val="00E30342"/>
    <w:rsid w:val="00E30A2D"/>
    <w:rsid w:val="00E310C1"/>
    <w:rsid w:val="00E32EDA"/>
    <w:rsid w:val="00E34C4E"/>
    <w:rsid w:val="00E35EC0"/>
    <w:rsid w:val="00E37618"/>
    <w:rsid w:val="00E376C2"/>
    <w:rsid w:val="00E37791"/>
    <w:rsid w:val="00E37863"/>
    <w:rsid w:val="00E40D98"/>
    <w:rsid w:val="00E417A8"/>
    <w:rsid w:val="00E41FE7"/>
    <w:rsid w:val="00E435C4"/>
    <w:rsid w:val="00E4424B"/>
    <w:rsid w:val="00E45192"/>
    <w:rsid w:val="00E45761"/>
    <w:rsid w:val="00E4587A"/>
    <w:rsid w:val="00E45A4C"/>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6D88"/>
    <w:rsid w:val="00E67A47"/>
    <w:rsid w:val="00E67E07"/>
    <w:rsid w:val="00E67ED9"/>
    <w:rsid w:val="00E70151"/>
    <w:rsid w:val="00E70283"/>
    <w:rsid w:val="00E7071B"/>
    <w:rsid w:val="00E709ED"/>
    <w:rsid w:val="00E70E34"/>
    <w:rsid w:val="00E71DBB"/>
    <w:rsid w:val="00E72362"/>
    <w:rsid w:val="00E72D73"/>
    <w:rsid w:val="00E72EAE"/>
    <w:rsid w:val="00E745BF"/>
    <w:rsid w:val="00E74DE9"/>
    <w:rsid w:val="00E75EF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906"/>
    <w:rsid w:val="00E93B3A"/>
    <w:rsid w:val="00E95BF0"/>
    <w:rsid w:val="00E95DE1"/>
    <w:rsid w:val="00E95EB4"/>
    <w:rsid w:val="00E9647A"/>
    <w:rsid w:val="00E96C9E"/>
    <w:rsid w:val="00E97AA9"/>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A792F"/>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3941"/>
    <w:rsid w:val="00EF7C16"/>
    <w:rsid w:val="00F00175"/>
    <w:rsid w:val="00F00F09"/>
    <w:rsid w:val="00F021E2"/>
    <w:rsid w:val="00F024E5"/>
    <w:rsid w:val="00F04671"/>
    <w:rsid w:val="00F049AD"/>
    <w:rsid w:val="00F04C4A"/>
    <w:rsid w:val="00F050C4"/>
    <w:rsid w:val="00F05467"/>
    <w:rsid w:val="00F0788B"/>
    <w:rsid w:val="00F07E85"/>
    <w:rsid w:val="00F1033D"/>
    <w:rsid w:val="00F11B2F"/>
    <w:rsid w:val="00F11BFB"/>
    <w:rsid w:val="00F124F5"/>
    <w:rsid w:val="00F13D10"/>
    <w:rsid w:val="00F14882"/>
    <w:rsid w:val="00F14939"/>
    <w:rsid w:val="00F14FEC"/>
    <w:rsid w:val="00F17B44"/>
    <w:rsid w:val="00F21249"/>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89A"/>
    <w:rsid w:val="00F3104F"/>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4136"/>
    <w:rsid w:val="00F44B08"/>
    <w:rsid w:val="00F4604D"/>
    <w:rsid w:val="00F467A2"/>
    <w:rsid w:val="00F50C4B"/>
    <w:rsid w:val="00F52DD8"/>
    <w:rsid w:val="00F53059"/>
    <w:rsid w:val="00F54021"/>
    <w:rsid w:val="00F54BF7"/>
    <w:rsid w:val="00F5536C"/>
    <w:rsid w:val="00F5641F"/>
    <w:rsid w:val="00F56492"/>
    <w:rsid w:val="00F56670"/>
    <w:rsid w:val="00F56E8B"/>
    <w:rsid w:val="00F57D8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B92"/>
    <w:rsid w:val="00F73C05"/>
    <w:rsid w:val="00F7402B"/>
    <w:rsid w:val="00F743A2"/>
    <w:rsid w:val="00F75248"/>
    <w:rsid w:val="00F773E6"/>
    <w:rsid w:val="00F80314"/>
    <w:rsid w:val="00F80A83"/>
    <w:rsid w:val="00F8189B"/>
    <w:rsid w:val="00F82B5E"/>
    <w:rsid w:val="00F83AAB"/>
    <w:rsid w:val="00F84153"/>
    <w:rsid w:val="00F841FE"/>
    <w:rsid w:val="00F84AA3"/>
    <w:rsid w:val="00F84FA5"/>
    <w:rsid w:val="00F85590"/>
    <w:rsid w:val="00F859F0"/>
    <w:rsid w:val="00F85C23"/>
    <w:rsid w:val="00F863EA"/>
    <w:rsid w:val="00F864EF"/>
    <w:rsid w:val="00F86C61"/>
    <w:rsid w:val="00F86E93"/>
    <w:rsid w:val="00F87704"/>
    <w:rsid w:val="00F87BA3"/>
    <w:rsid w:val="00F87FD4"/>
    <w:rsid w:val="00F90EA4"/>
    <w:rsid w:val="00F91540"/>
    <w:rsid w:val="00F915CD"/>
    <w:rsid w:val="00F91A63"/>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1A65"/>
    <w:rsid w:val="00FB2193"/>
    <w:rsid w:val="00FB2F54"/>
    <w:rsid w:val="00FB4E75"/>
    <w:rsid w:val="00FB5107"/>
    <w:rsid w:val="00FB616C"/>
    <w:rsid w:val="00FB780F"/>
    <w:rsid w:val="00FB7CC1"/>
    <w:rsid w:val="00FC0FE3"/>
    <w:rsid w:val="00FC1718"/>
    <w:rsid w:val="00FC2E2D"/>
    <w:rsid w:val="00FC3D21"/>
    <w:rsid w:val="00FC5373"/>
    <w:rsid w:val="00FC67D6"/>
    <w:rsid w:val="00FC6950"/>
    <w:rsid w:val="00FC6F93"/>
    <w:rsid w:val="00FC7034"/>
    <w:rsid w:val="00FC7D50"/>
    <w:rsid w:val="00FD189B"/>
    <w:rsid w:val="00FD1E70"/>
    <w:rsid w:val="00FD2FEE"/>
    <w:rsid w:val="00FD3688"/>
    <w:rsid w:val="00FD4C68"/>
    <w:rsid w:val="00FD4D93"/>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7444">
      <w:bodyDiv w:val="1"/>
      <w:marLeft w:val="0"/>
      <w:marRight w:val="0"/>
      <w:marTop w:val="0"/>
      <w:marBottom w:val="0"/>
      <w:divBdr>
        <w:top w:val="none" w:sz="0" w:space="0" w:color="auto"/>
        <w:left w:val="none" w:sz="0" w:space="0" w:color="auto"/>
        <w:bottom w:val="none" w:sz="0" w:space="0" w:color="auto"/>
        <w:right w:val="none" w:sz="0" w:space="0" w:color="auto"/>
      </w:divBdr>
    </w:div>
    <w:div w:id="162475406">
      <w:bodyDiv w:val="1"/>
      <w:marLeft w:val="0"/>
      <w:marRight w:val="0"/>
      <w:marTop w:val="0"/>
      <w:marBottom w:val="0"/>
      <w:divBdr>
        <w:top w:val="none" w:sz="0" w:space="0" w:color="auto"/>
        <w:left w:val="none" w:sz="0" w:space="0" w:color="auto"/>
        <w:bottom w:val="none" w:sz="0" w:space="0" w:color="auto"/>
        <w:right w:val="none" w:sz="0" w:space="0" w:color="auto"/>
      </w:divBdr>
      <w:divsChild>
        <w:div w:id="835921905">
          <w:marLeft w:val="0"/>
          <w:marRight w:val="0"/>
          <w:marTop w:val="0"/>
          <w:marBottom w:val="0"/>
          <w:divBdr>
            <w:top w:val="none" w:sz="0" w:space="0" w:color="auto"/>
            <w:left w:val="none" w:sz="0" w:space="0" w:color="auto"/>
            <w:bottom w:val="none" w:sz="0" w:space="0" w:color="auto"/>
            <w:right w:val="none" w:sz="0" w:space="0" w:color="auto"/>
          </w:divBdr>
        </w:div>
        <w:div w:id="1843743115">
          <w:marLeft w:val="0"/>
          <w:marRight w:val="0"/>
          <w:marTop w:val="0"/>
          <w:marBottom w:val="0"/>
          <w:divBdr>
            <w:top w:val="none" w:sz="0" w:space="0" w:color="auto"/>
            <w:left w:val="none" w:sz="0" w:space="0" w:color="auto"/>
            <w:bottom w:val="none" w:sz="0" w:space="0" w:color="auto"/>
            <w:right w:val="none" w:sz="0" w:space="0" w:color="auto"/>
          </w:divBdr>
        </w:div>
        <w:div w:id="1821582388">
          <w:marLeft w:val="0"/>
          <w:marRight w:val="0"/>
          <w:marTop w:val="0"/>
          <w:marBottom w:val="0"/>
          <w:divBdr>
            <w:top w:val="none" w:sz="0" w:space="0" w:color="auto"/>
            <w:left w:val="none" w:sz="0" w:space="0" w:color="auto"/>
            <w:bottom w:val="none" w:sz="0" w:space="0" w:color="auto"/>
            <w:right w:val="none" w:sz="0" w:space="0" w:color="auto"/>
          </w:divBdr>
        </w:div>
        <w:div w:id="47148069">
          <w:marLeft w:val="0"/>
          <w:marRight w:val="0"/>
          <w:marTop w:val="0"/>
          <w:marBottom w:val="0"/>
          <w:divBdr>
            <w:top w:val="none" w:sz="0" w:space="0" w:color="auto"/>
            <w:left w:val="none" w:sz="0" w:space="0" w:color="auto"/>
            <w:bottom w:val="none" w:sz="0" w:space="0" w:color="auto"/>
            <w:right w:val="none" w:sz="0" w:space="0" w:color="auto"/>
          </w:divBdr>
        </w:div>
        <w:div w:id="2005277428">
          <w:marLeft w:val="0"/>
          <w:marRight w:val="0"/>
          <w:marTop w:val="0"/>
          <w:marBottom w:val="0"/>
          <w:divBdr>
            <w:top w:val="none" w:sz="0" w:space="0" w:color="auto"/>
            <w:left w:val="none" w:sz="0" w:space="0" w:color="auto"/>
            <w:bottom w:val="none" w:sz="0" w:space="0" w:color="auto"/>
            <w:right w:val="none" w:sz="0" w:space="0" w:color="auto"/>
          </w:divBdr>
        </w:div>
        <w:div w:id="31225796">
          <w:marLeft w:val="0"/>
          <w:marRight w:val="0"/>
          <w:marTop w:val="0"/>
          <w:marBottom w:val="0"/>
          <w:divBdr>
            <w:top w:val="none" w:sz="0" w:space="0" w:color="auto"/>
            <w:left w:val="none" w:sz="0" w:space="0" w:color="auto"/>
            <w:bottom w:val="none" w:sz="0" w:space="0" w:color="auto"/>
            <w:right w:val="none" w:sz="0" w:space="0" w:color="auto"/>
          </w:divBdr>
        </w:div>
        <w:div w:id="1040740364">
          <w:marLeft w:val="0"/>
          <w:marRight w:val="0"/>
          <w:marTop w:val="0"/>
          <w:marBottom w:val="0"/>
          <w:divBdr>
            <w:top w:val="none" w:sz="0" w:space="0" w:color="auto"/>
            <w:left w:val="none" w:sz="0" w:space="0" w:color="auto"/>
            <w:bottom w:val="none" w:sz="0" w:space="0" w:color="auto"/>
            <w:right w:val="none" w:sz="0" w:space="0" w:color="auto"/>
          </w:divBdr>
        </w:div>
        <w:div w:id="474763629">
          <w:marLeft w:val="0"/>
          <w:marRight w:val="0"/>
          <w:marTop w:val="0"/>
          <w:marBottom w:val="0"/>
          <w:divBdr>
            <w:top w:val="none" w:sz="0" w:space="0" w:color="auto"/>
            <w:left w:val="none" w:sz="0" w:space="0" w:color="auto"/>
            <w:bottom w:val="none" w:sz="0" w:space="0" w:color="auto"/>
            <w:right w:val="none" w:sz="0" w:space="0" w:color="auto"/>
          </w:divBdr>
        </w:div>
        <w:div w:id="1908101562">
          <w:marLeft w:val="0"/>
          <w:marRight w:val="0"/>
          <w:marTop w:val="0"/>
          <w:marBottom w:val="0"/>
          <w:divBdr>
            <w:top w:val="none" w:sz="0" w:space="0" w:color="auto"/>
            <w:left w:val="none" w:sz="0" w:space="0" w:color="auto"/>
            <w:bottom w:val="none" w:sz="0" w:space="0" w:color="auto"/>
            <w:right w:val="none" w:sz="0" w:space="0" w:color="auto"/>
          </w:divBdr>
        </w:div>
        <w:div w:id="1923710761">
          <w:marLeft w:val="0"/>
          <w:marRight w:val="0"/>
          <w:marTop w:val="0"/>
          <w:marBottom w:val="0"/>
          <w:divBdr>
            <w:top w:val="none" w:sz="0" w:space="0" w:color="auto"/>
            <w:left w:val="none" w:sz="0" w:space="0" w:color="auto"/>
            <w:bottom w:val="none" w:sz="0" w:space="0" w:color="auto"/>
            <w:right w:val="none" w:sz="0" w:space="0" w:color="auto"/>
          </w:divBdr>
        </w:div>
        <w:div w:id="1954898289">
          <w:marLeft w:val="0"/>
          <w:marRight w:val="0"/>
          <w:marTop w:val="0"/>
          <w:marBottom w:val="0"/>
          <w:divBdr>
            <w:top w:val="none" w:sz="0" w:space="0" w:color="auto"/>
            <w:left w:val="none" w:sz="0" w:space="0" w:color="auto"/>
            <w:bottom w:val="none" w:sz="0" w:space="0" w:color="auto"/>
            <w:right w:val="none" w:sz="0" w:space="0" w:color="auto"/>
          </w:divBdr>
        </w:div>
        <w:div w:id="1204053366">
          <w:marLeft w:val="0"/>
          <w:marRight w:val="0"/>
          <w:marTop w:val="0"/>
          <w:marBottom w:val="0"/>
          <w:divBdr>
            <w:top w:val="none" w:sz="0" w:space="0" w:color="auto"/>
            <w:left w:val="none" w:sz="0" w:space="0" w:color="auto"/>
            <w:bottom w:val="none" w:sz="0" w:space="0" w:color="auto"/>
            <w:right w:val="none" w:sz="0" w:space="0" w:color="auto"/>
          </w:divBdr>
        </w:div>
        <w:div w:id="393898340">
          <w:marLeft w:val="0"/>
          <w:marRight w:val="0"/>
          <w:marTop w:val="0"/>
          <w:marBottom w:val="0"/>
          <w:divBdr>
            <w:top w:val="none" w:sz="0" w:space="0" w:color="auto"/>
            <w:left w:val="none" w:sz="0" w:space="0" w:color="auto"/>
            <w:bottom w:val="none" w:sz="0" w:space="0" w:color="auto"/>
            <w:right w:val="none" w:sz="0" w:space="0" w:color="auto"/>
          </w:divBdr>
        </w:div>
        <w:div w:id="1447700225">
          <w:marLeft w:val="0"/>
          <w:marRight w:val="0"/>
          <w:marTop w:val="0"/>
          <w:marBottom w:val="0"/>
          <w:divBdr>
            <w:top w:val="none" w:sz="0" w:space="0" w:color="auto"/>
            <w:left w:val="none" w:sz="0" w:space="0" w:color="auto"/>
            <w:bottom w:val="none" w:sz="0" w:space="0" w:color="auto"/>
            <w:right w:val="none" w:sz="0" w:space="0" w:color="auto"/>
          </w:divBdr>
        </w:div>
        <w:div w:id="1888491449">
          <w:marLeft w:val="0"/>
          <w:marRight w:val="0"/>
          <w:marTop w:val="0"/>
          <w:marBottom w:val="0"/>
          <w:divBdr>
            <w:top w:val="none" w:sz="0" w:space="0" w:color="auto"/>
            <w:left w:val="none" w:sz="0" w:space="0" w:color="auto"/>
            <w:bottom w:val="none" w:sz="0" w:space="0" w:color="auto"/>
            <w:right w:val="none" w:sz="0" w:space="0" w:color="auto"/>
          </w:divBdr>
        </w:div>
        <w:div w:id="355354406">
          <w:marLeft w:val="0"/>
          <w:marRight w:val="0"/>
          <w:marTop w:val="0"/>
          <w:marBottom w:val="0"/>
          <w:divBdr>
            <w:top w:val="none" w:sz="0" w:space="0" w:color="auto"/>
            <w:left w:val="none" w:sz="0" w:space="0" w:color="auto"/>
            <w:bottom w:val="none" w:sz="0" w:space="0" w:color="auto"/>
            <w:right w:val="none" w:sz="0" w:space="0" w:color="auto"/>
          </w:divBdr>
        </w:div>
      </w:divsChild>
    </w:div>
    <w:div w:id="171258820">
      <w:bodyDiv w:val="1"/>
      <w:marLeft w:val="0"/>
      <w:marRight w:val="0"/>
      <w:marTop w:val="0"/>
      <w:marBottom w:val="0"/>
      <w:divBdr>
        <w:top w:val="none" w:sz="0" w:space="0" w:color="auto"/>
        <w:left w:val="none" w:sz="0" w:space="0" w:color="auto"/>
        <w:bottom w:val="none" w:sz="0" w:space="0" w:color="auto"/>
        <w:right w:val="none" w:sz="0" w:space="0" w:color="auto"/>
      </w:divBdr>
      <w:divsChild>
        <w:div w:id="1877354815">
          <w:marLeft w:val="0"/>
          <w:marRight w:val="0"/>
          <w:marTop w:val="0"/>
          <w:marBottom w:val="0"/>
          <w:divBdr>
            <w:top w:val="none" w:sz="0" w:space="0" w:color="auto"/>
            <w:left w:val="none" w:sz="0" w:space="0" w:color="auto"/>
            <w:bottom w:val="none" w:sz="0" w:space="0" w:color="auto"/>
            <w:right w:val="none" w:sz="0" w:space="0" w:color="auto"/>
          </w:divBdr>
        </w:div>
        <w:div w:id="2020959332">
          <w:marLeft w:val="0"/>
          <w:marRight w:val="0"/>
          <w:marTop w:val="0"/>
          <w:marBottom w:val="0"/>
          <w:divBdr>
            <w:top w:val="none" w:sz="0" w:space="0" w:color="auto"/>
            <w:left w:val="none" w:sz="0" w:space="0" w:color="auto"/>
            <w:bottom w:val="none" w:sz="0" w:space="0" w:color="auto"/>
            <w:right w:val="none" w:sz="0" w:space="0" w:color="auto"/>
          </w:divBdr>
        </w:div>
        <w:div w:id="2113352153">
          <w:marLeft w:val="0"/>
          <w:marRight w:val="0"/>
          <w:marTop w:val="0"/>
          <w:marBottom w:val="0"/>
          <w:divBdr>
            <w:top w:val="none" w:sz="0" w:space="0" w:color="auto"/>
            <w:left w:val="none" w:sz="0" w:space="0" w:color="auto"/>
            <w:bottom w:val="none" w:sz="0" w:space="0" w:color="auto"/>
            <w:right w:val="none" w:sz="0" w:space="0" w:color="auto"/>
          </w:divBdr>
        </w:div>
        <w:div w:id="1462842129">
          <w:marLeft w:val="0"/>
          <w:marRight w:val="0"/>
          <w:marTop w:val="0"/>
          <w:marBottom w:val="0"/>
          <w:divBdr>
            <w:top w:val="none" w:sz="0" w:space="0" w:color="auto"/>
            <w:left w:val="none" w:sz="0" w:space="0" w:color="auto"/>
            <w:bottom w:val="none" w:sz="0" w:space="0" w:color="auto"/>
            <w:right w:val="none" w:sz="0" w:space="0" w:color="auto"/>
          </w:divBdr>
        </w:div>
        <w:div w:id="865949353">
          <w:marLeft w:val="0"/>
          <w:marRight w:val="0"/>
          <w:marTop w:val="0"/>
          <w:marBottom w:val="0"/>
          <w:divBdr>
            <w:top w:val="none" w:sz="0" w:space="0" w:color="auto"/>
            <w:left w:val="none" w:sz="0" w:space="0" w:color="auto"/>
            <w:bottom w:val="none" w:sz="0" w:space="0" w:color="auto"/>
            <w:right w:val="none" w:sz="0" w:space="0" w:color="auto"/>
          </w:divBdr>
        </w:div>
        <w:div w:id="690913155">
          <w:marLeft w:val="0"/>
          <w:marRight w:val="0"/>
          <w:marTop w:val="0"/>
          <w:marBottom w:val="0"/>
          <w:divBdr>
            <w:top w:val="none" w:sz="0" w:space="0" w:color="auto"/>
            <w:left w:val="none" w:sz="0" w:space="0" w:color="auto"/>
            <w:bottom w:val="none" w:sz="0" w:space="0" w:color="auto"/>
            <w:right w:val="none" w:sz="0" w:space="0" w:color="auto"/>
          </w:divBdr>
        </w:div>
        <w:div w:id="1985087965">
          <w:marLeft w:val="0"/>
          <w:marRight w:val="0"/>
          <w:marTop w:val="0"/>
          <w:marBottom w:val="0"/>
          <w:divBdr>
            <w:top w:val="none" w:sz="0" w:space="0" w:color="auto"/>
            <w:left w:val="none" w:sz="0" w:space="0" w:color="auto"/>
            <w:bottom w:val="none" w:sz="0" w:space="0" w:color="auto"/>
            <w:right w:val="none" w:sz="0" w:space="0" w:color="auto"/>
          </w:divBdr>
        </w:div>
        <w:div w:id="1661928222">
          <w:marLeft w:val="0"/>
          <w:marRight w:val="0"/>
          <w:marTop w:val="0"/>
          <w:marBottom w:val="0"/>
          <w:divBdr>
            <w:top w:val="none" w:sz="0" w:space="0" w:color="auto"/>
            <w:left w:val="none" w:sz="0" w:space="0" w:color="auto"/>
            <w:bottom w:val="none" w:sz="0" w:space="0" w:color="auto"/>
            <w:right w:val="none" w:sz="0" w:space="0" w:color="auto"/>
          </w:divBdr>
        </w:div>
        <w:div w:id="824973416">
          <w:marLeft w:val="0"/>
          <w:marRight w:val="0"/>
          <w:marTop w:val="0"/>
          <w:marBottom w:val="0"/>
          <w:divBdr>
            <w:top w:val="none" w:sz="0" w:space="0" w:color="auto"/>
            <w:left w:val="none" w:sz="0" w:space="0" w:color="auto"/>
            <w:bottom w:val="none" w:sz="0" w:space="0" w:color="auto"/>
            <w:right w:val="none" w:sz="0" w:space="0" w:color="auto"/>
          </w:divBdr>
        </w:div>
        <w:div w:id="1684546359">
          <w:marLeft w:val="0"/>
          <w:marRight w:val="0"/>
          <w:marTop w:val="0"/>
          <w:marBottom w:val="0"/>
          <w:divBdr>
            <w:top w:val="none" w:sz="0" w:space="0" w:color="auto"/>
            <w:left w:val="none" w:sz="0" w:space="0" w:color="auto"/>
            <w:bottom w:val="none" w:sz="0" w:space="0" w:color="auto"/>
            <w:right w:val="none" w:sz="0" w:space="0" w:color="auto"/>
          </w:divBdr>
        </w:div>
        <w:div w:id="219824458">
          <w:marLeft w:val="0"/>
          <w:marRight w:val="0"/>
          <w:marTop w:val="0"/>
          <w:marBottom w:val="0"/>
          <w:divBdr>
            <w:top w:val="none" w:sz="0" w:space="0" w:color="auto"/>
            <w:left w:val="none" w:sz="0" w:space="0" w:color="auto"/>
            <w:bottom w:val="none" w:sz="0" w:space="0" w:color="auto"/>
            <w:right w:val="none" w:sz="0" w:space="0" w:color="auto"/>
          </w:divBdr>
        </w:div>
        <w:div w:id="1088576275">
          <w:marLeft w:val="0"/>
          <w:marRight w:val="0"/>
          <w:marTop w:val="0"/>
          <w:marBottom w:val="0"/>
          <w:divBdr>
            <w:top w:val="none" w:sz="0" w:space="0" w:color="auto"/>
            <w:left w:val="none" w:sz="0" w:space="0" w:color="auto"/>
            <w:bottom w:val="none" w:sz="0" w:space="0" w:color="auto"/>
            <w:right w:val="none" w:sz="0" w:space="0" w:color="auto"/>
          </w:divBdr>
        </w:div>
        <w:div w:id="124739604">
          <w:marLeft w:val="0"/>
          <w:marRight w:val="0"/>
          <w:marTop w:val="0"/>
          <w:marBottom w:val="0"/>
          <w:divBdr>
            <w:top w:val="none" w:sz="0" w:space="0" w:color="auto"/>
            <w:left w:val="none" w:sz="0" w:space="0" w:color="auto"/>
            <w:bottom w:val="none" w:sz="0" w:space="0" w:color="auto"/>
            <w:right w:val="none" w:sz="0" w:space="0" w:color="auto"/>
          </w:divBdr>
        </w:div>
        <w:div w:id="36470052">
          <w:marLeft w:val="0"/>
          <w:marRight w:val="0"/>
          <w:marTop w:val="0"/>
          <w:marBottom w:val="0"/>
          <w:divBdr>
            <w:top w:val="none" w:sz="0" w:space="0" w:color="auto"/>
            <w:left w:val="none" w:sz="0" w:space="0" w:color="auto"/>
            <w:bottom w:val="none" w:sz="0" w:space="0" w:color="auto"/>
            <w:right w:val="none" w:sz="0" w:space="0" w:color="auto"/>
          </w:divBdr>
        </w:div>
        <w:div w:id="1787312333">
          <w:marLeft w:val="0"/>
          <w:marRight w:val="0"/>
          <w:marTop w:val="0"/>
          <w:marBottom w:val="0"/>
          <w:divBdr>
            <w:top w:val="none" w:sz="0" w:space="0" w:color="auto"/>
            <w:left w:val="none" w:sz="0" w:space="0" w:color="auto"/>
            <w:bottom w:val="none" w:sz="0" w:space="0" w:color="auto"/>
            <w:right w:val="none" w:sz="0" w:space="0" w:color="auto"/>
          </w:divBdr>
        </w:div>
        <w:div w:id="936182296">
          <w:marLeft w:val="0"/>
          <w:marRight w:val="0"/>
          <w:marTop w:val="0"/>
          <w:marBottom w:val="0"/>
          <w:divBdr>
            <w:top w:val="none" w:sz="0" w:space="0" w:color="auto"/>
            <w:left w:val="none" w:sz="0" w:space="0" w:color="auto"/>
            <w:bottom w:val="none" w:sz="0" w:space="0" w:color="auto"/>
            <w:right w:val="none" w:sz="0" w:space="0" w:color="auto"/>
          </w:divBdr>
        </w:div>
        <w:div w:id="1754282689">
          <w:marLeft w:val="0"/>
          <w:marRight w:val="0"/>
          <w:marTop w:val="0"/>
          <w:marBottom w:val="0"/>
          <w:divBdr>
            <w:top w:val="none" w:sz="0" w:space="0" w:color="auto"/>
            <w:left w:val="none" w:sz="0" w:space="0" w:color="auto"/>
            <w:bottom w:val="none" w:sz="0" w:space="0" w:color="auto"/>
            <w:right w:val="none" w:sz="0" w:space="0" w:color="auto"/>
          </w:divBdr>
        </w:div>
        <w:div w:id="716667670">
          <w:marLeft w:val="0"/>
          <w:marRight w:val="0"/>
          <w:marTop w:val="0"/>
          <w:marBottom w:val="0"/>
          <w:divBdr>
            <w:top w:val="none" w:sz="0" w:space="0" w:color="auto"/>
            <w:left w:val="none" w:sz="0" w:space="0" w:color="auto"/>
            <w:bottom w:val="none" w:sz="0" w:space="0" w:color="auto"/>
            <w:right w:val="none" w:sz="0" w:space="0" w:color="auto"/>
          </w:divBdr>
        </w:div>
        <w:div w:id="361056377">
          <w:marLeft w:val="0"/>
          <w:marRight w:val="0"/>
          <w:marTop w:val="0"/>
          <w:marBottom w:val="0"/>
          <w:divBdr>
            <w:top w:val="none" w:sz="0" w:space="0" w:color="auto"/>
            <w:left w:val="none" w:sz="0" w:space="0" w:color="auto"/>
            <w:bottom w:val="none" w:sz="0" w:space="0" w:color="auto"/>
            <w:right w:val="none" w:sz="0" w:space="0" w:color="auto"/>
          </w:divBdr>
        </w:div>
        <w:div w:id="1560750390">
          <w:marLeft w:val="0"/>
          <w:marRight w:val="0"/>
          <w:marTop w:val="0"/>
          <w:marBottom w:val="0"/>
          <w:divBdr>
            <w:top w:val="none" w:sz="0" w:space="0" w:color="auto"/>
            <w:left w:val="none" w:sz="0" w:space="0" w:color="auto"/>
            <w:bottom w:val="none" w:sz="0" w:space="0" w:color="auto"/>
            <w:right w:val="none" w:sz="0" w:space="0" w:color="auto"/>
          </w:divBdr>
        </w:div>
      </w:divsChild>
    </w:div>
    <w:div w:id="176121923">
      <w:bodyDiv w:val="1"/>
      <w:marLeft w:val="0"/>
      <w:marRight w:val="0"/>
      <w:marTop w:val="0"/>
      <w:marBottom w:val="0"/>
      <w:divBdr>
        <w:top w:val="none" w:sz="0" w:space="0" w:color="auto"/>
        <w:left w:val="none" w:sz="0" w:space="0" w:color="auto"/>
        <w:bottom w:val="none" w:sz="0" w:space="0" w:color="auto"/>
        <w:right w:val="none" w:sz="0" w:space="0" w:color="auto"/>
      </w:divBdr>
      <w:divsChild>
        <w:div w:id="1849247199">
          <w:marLeft w:val="0"/>
          <w:marRight w:val="0"/>
          <w:marTop w:val="0"/>
          <w:marBottom w:val="0"/>
          <w:divBdr>
            <w:top w:val="none" w:sz="0" w:space="0" w:color="auto"/>
            <w:left w:val="none" w:sz="0" w:space="0" w:color="auto"/>
            <w:bottom w:val="none" w:sz="0" w:space="0" w:color="auto"/>
            <w:right w:val="none" w:sz="0" w:space="0" w:color="auto"/>
          </w:divBdr>
        </w:div>
        <w:div w:id="613753304">
          <w:marLeft w:val="0"/>
          <w:marRight w:val="0"/>
          <w:marTop w:val="0"/>
          <w:marBottom w:val="0"/>
          <w:divBdr>
            <w:top w:val="none" w:sz="0" w:space="0" w:color="auto"/>
            <w:left w:val="none" w:sz="0" w:space="0" w:color="auto"/>
            <w:bottom w:val="none" w:sz="0" w:space="0" w:color="auto"/>
            <w:right w:val="none" w:sz="0" w:space="0" w:color="auto"/>
          </w:divBdr>
        </w:div>
        <w:div w:id="1868331641">
          <w:marLeft w:val="0"/>
          <w:marRight w:val="0"/>
          <w:marTop w:val="0"/>
          <w:marBottom w:val="0"/>
          <w:divBdr>
            <w:top w:val="none" w:sz="0" w:space="0" w:color="auto"/>
            <w:left w:val="none" w:sz="0" w:space="0" w:color="auto"/>
            <w:bottom w:val="none" w:sz="0" w:space="0" w:color="auto"/>
            <w:right w:val="none" w:sz="0" w:space="0" w:color="auto"/>
          </w:divBdr>
        </w:div>
        <w:div w:id="475681224">
          <w:marLeft w:val="0"/>
          <w:marRight w:val="0"/>
          <w:marTop w:val="0"/>
          <w:marBottom w:val="0"/>
          <w:divBdr>
            <w:top w:val="none" w:sz="0" w:space="0" w:color="auto"/>
            <w:left w:val="none" w:sz="0" w:space="0" w:color="auto"/>
            <w:bottom w:val="none" w:sz="0" w:space="0" w:color="auto"/>
            <w:right w:val="none" w:sz="0" w:space="0" w:color="auto"/>
          </w:divBdr>
        </w:div>
        <w:div w:id="1986624306">
          <w:marLeft w:val="0"/>
          <w:marRight w:val="0"/>
          <w:marTop w:val="0"/>
          <w:marBottom w:val="0"/>
          <w:divBdr>
            <w:top w:val="none" w:sz="0" w:space="0" w:color="auto"/>
            <w:left w:val="none" w:sz="0" w:space="0" w:color="auto"/>
            <w:bottom w:val="none" w:sz="0" w:space="0" w:color="auto"/>
            <w:right w:val="none" w:sz="0" w:space="0" w:color="auto"/>
          </w:divBdr>
        </w:div>
        <w:div w:id="1251542101">
          <w:marLeft w:val="0"/>
          <w:marRight w:val="0"/>
          <w:marTop w:val="0"/>
          <w:marBottom w:val="0"/>
          <w:divBdr>
            <w:top w:val="none" w:sz="0" w:space="0" w:color="auto"/>
            <w:left w:val="none" w:sz="0" w:space="0" w:color="auto"/>
            <w:bottom w:val="none" w:sz="0" w:space="0" w:color="auto"/>
            <w:right w:val="none" w:sz="0" w:space="0" w:color="auto"/>
          </w:divBdr>
        </w:div>
        <w:div w:id="694577523">
          <w:marLeft w:val="0"/>
          <w:marRight w:val="0"/>
          <w:marTop w:val="0"/>
          <w:marBottom w:val="0"/>
          <w:divBdr>
            <w:top w:val="none" w:sz="0" w:space="0" w:color="auto"/>
            <w:left w:val="none" w:sz="0" w:space="0" w:color="auto"/>
            <w:bottom w:val="none" w:sz="0" w:space="0" w:color="auto"/>
            <w:right w:val="none" w:sz="0" w:space="0" w:color="auto"/>
          </w:divBdr>
        </w:div>
        <w:div w:id="304051512">
          <w:marLeft w:val="0"/>
          <w:marRight w:val="0"/>
          <w:marTop w:val="0"/>
          <w:marBottom w:val="0"/>
          <w:divBdr>
            <w:top w:val="none" w:sz="0" w:space="0" w:color="auto"/>
            <w:left w:val="none" w:sz="0" w:space="0" w:color="auto"/>
            <w:bottom w:val="none" w:sz="0" w:space="0" w:color="auto"/>
            <w:right w:val="none" w:sz="0" w:space="0" w:color="auto"/>
          </w:divBdr>
        </w:div>
        <w:div w:id="522860671">
          <w:marLeft w:val="0"/>
          <w:marRight w:val="0"/>
          <w:marTop w:val="0"/>
          <w:marBottom w:val="0"/>
          <w:divBdr>
            <w:top w:val="none" w:sz="0" w:space="0" w:color="auto"/>
            <w:left w:val="none" w:sz="0" w:space="0" w:color="auto"/>
            <w:bottom w:val="none" w:sz="0" w:space="0" w:color="auto"/>
            <w:right w:val="none" w:sz="0" w:space="0" w:color="auto"/>
          </w:divBdr>
        </w:div>
        <w:div w:id="169876650">
          <w:marLeft w:val="0"/>
          <w:marRight w:val="0"/>
          <w:marTop w:val="0"/>
          <w:marBottom w:val="0"/>
          <w:divBdr>
            <w:top w:val="none" w:sz="0" w:space="0" w:color="auto"/>
            <w:left w:val="none" w:sz="0" w:space="0" w:color="auto"/>
            <w:bottom w:val="none" w:sz="0" w:space="0" w:color="auto"/>
            <w:right w:val="none" w:sz="0" w:space="0" w:color="auto"/>
          </w:divBdr>
        </w:div>
        <w:div w:id="689914492">
          <w:marLeft w:val="0"/>
          <w:marRight w:val="0"/>
          <w:marTop w:val="0"/>
          <w:marBottom w:val="0"/>
          <w:divBdr>
            <w:top w:val="none" w:sz="0" w:space="0" w:color="auto"/>
            <w:left w:val="none" w:sz="0" w:space="0" w:color="auto"/>
            <w:bottom w:val="none" w:sz="0" w:space="0" w:color="auto"/>
            <w:right w:val="none" w:sz="0" w:space="0" w:color="auto"/>
          </w:divBdr>
        </w:div>
        <w:div w:id="938564154">
          <w:marLeft w:val="0"/>
          <w:marRight w:val="0"/>
          <w:marTop w:val="0"/>
          <w:marBottom w:val="0"/>
          <w:divBdr>
            <w:top w:val="none" w:sz="0" w:space="0" w:color="auto"/>
            <w:left w:val="none" w:sz="0" w:space="0" w:color="auto"/>
            <w:bottom w:val="none" w:sz="0" w:space="0" w:color="auto"/>
            <w:right w:val="none" w:sz="0" w:space="0" w:color="auto"/>
          </w:divBdr>
        </w:div>
      </w:divsChild>
    </w:div>
    <w:div w:id="206182829">
      <w:bodyDiv w:val="1"/>
      <w:marLeft w:val="0"/>
      <w:marRight w:val="0"/>
      <w:marTop w:val="0"/>
      <w:marBottom w:val="0"/>
      <w:divBdr>
        <w:top w:val="none" w:sz="0" w:space="0" w:color="auto"/>
        <w:left w:val="none" w:sz="0" w:space="0" w:color="auto"/>
        <w:bottom w:val="none" w:sz="0" w:space="0" w:color="auto"/>
        <w:right w:val="none" w:sz="0" w:space="0" w:color="auto"/>
      </w:divBdr>
      <w:divsChild>
        <w:div w:id="79375552">
          <w:marLeft w:val="0"/>
          <w:marRight w:val="0"/>
          <w:marTop w:val="0"/>
          <w:marBottom w:val="0"/>
          <w:divBdr>
            <w:top w:val="none" w:sz="0" w:space="0" w:color="auto"/>
            <w:left w:val="none" w:sz="0" w:space="0" w:color="auto"/>
            <w:bottom w:val="none" w:sz="0" w:space="0" w:color="auto"/>
            <w:right w:val="none" w:sz="0" w:space="0" w:color="auto"/>
          </w:divBdr>
        </w:div>
        <w:div w:id="1651252980">
          <w:marLeft w:val="0"/>
          <w:marRight w:val="0"/>
          <w:marTop w:val="0"/>
          <w:marBottom w:val="0"/>
          <w:divBdr>
            <w:top w:val="none" w:sz="0" w:space="0" w:color="auto"/>
            <w:left w:val="none" w:sz="0" w:space="0" w:color="auto"/>
            <w:bottom w:val="none" w:sz="0" w:space="0" w:color="auto"/>
            <w:right w:val="none" w:sz="0" w:space="0" w:color="auto"/>
          </w:divBdr>
        </w:div>
        <w:div w:id="2132821767">
          <w:marLeft w:val="0"/>
          <w:marRight w:val="0"/>
          <w:marTop w:val="0"/>
          <w:marBottom w:val="0"/>
          <w:divBdr>
            <w:top w:val="none" w:sz="0" w:space="0" w:color="auto"/>
            <w:left w:val="none" w:sz="0" w:space="0" w:color="auto"/>
            <w:bottom w:val="none" w:sz="0" w:space="0" w:color="auto"/>
            <w:right w:val="none" w:sz="0" w:space="0" w:color="auto"/>
          </w:divBdr>
        </w:div>
        <w:div w:id="102194456">
          <w:marLeft w:val="0"/>
          <w:marRight w:val="0"/>
          <w:marTop w:val="0"/>
          <w:marBottom w:val="0"/>
          <w:divBdr>
            <w:top w:val="none" w:sz="0" w:space="0" w:color="auto"/>
            <w:left w:val="none" w:sz="0" w:space="0" w:color="auto"/>
            <w:bottom w:val="none" w:sz="0" w:space="0" w:color="auto"/>
            <w:right w:val="none" w:sz="0" w:space="0" w:color="auto"/>
          </w:divBdr>
        </w:div>
      </w:divsChild>
    </w:div>
    <w:div w:id="340666682">
      <w:bodyDiv w:val="1"/>
      <w:marLeft w:val="0"/>
      <w:marRight w:val="0"/>
      <w:marTop w:val="0"/>
      <w:marBottom w:val="0"/>
      <w:divBdr>
        <w:top w:val="none" w:sz="0" w:space="0" w:color="auto"/>
        <w:left w:val="none" w:sz="0" w:space="0" w:color="auto"/>
        <w:bottom w:val="none" w:sz="0" w:space="0" w:color="auto"/>
        <w:right w:val="none" w:sz="0" w:space="0" w:color="auto"/>
      </w:divBdr>
      <w:divsChild>
        <w:div w:id="2029061023">
          <w:marLeft w:val="0"/>
          <w:marRight w:val="0"/>
          <w:marTop w:val="0"/>
          <w:marBottom w:val="0"/>
          <w:divBdr>
            <w:top w:val="none" w:sz="0" w:space="0" w:color="auto"/>
            <w:left w:val="none" w:sz="0" w:space="0" w:color="auto"/>
            <w:bottom w:val="none" w:sz="0" w:space="0" w:color="auto"/>
            <w:right w:val="none" w:sz="0" w:space="0" w:color="auto"/>
          </w:divBdr>
        </w:div>
        <w:div w:id="1855071306">
          <w:marLeft w:val="0"/>
          <w:marRight w:val="0"/>
          <w:marTop w:val="0"/>
          <w:marBottom w:val="0"/>
          <w:divBdr>
            <w:top w:val="none" w:sz="0" w:space="0" w:color="auto"/>
            <w:left w:val="none" w:sz="0" w:space="0" w:color="auto"/>
            <w:bottom w:val="none" w:sz="0" w:space="0" w:color="auto"/>
            <w:right w:val="none" w:sz="0" w:space="0" w:color="auto"/>
          </w:divBdr>
        </w:div>
        <w:div w:id="1190265775">
          <w:marLeft w:val="0"/>
          <w:marRight w:val="0"/>
          <w:marTop w:val="0"/>
          <w:marBottom w:val="0"/>
          <w:divBdr>
            <w:top w:val="none" w:sz="0" w:space="0" w:color="auto"/>
            <w:left w:val="none" w:sz="0" w:space="0" w:color="auto"/>
            <w:bottom w:val="none" w:sz="0" w:space="0" w:color="auto"/>
            <w:right w:val="none" w:sz="0" w:space="0" w:color="auto"/>
          </w:divBdr>
        </w:div>
        <w:div w:id="1720785979">
          <w:marLeft w:val="0"/>
          <w:marRight w:val="0"/>
          <w:marTop w:val="0"/>
          <w:marBottom w:val="0"/>
          <w:divBdr>
            <w:top w:val="none" w:sz="0" w:space="0" w:color="auto"/>
            <w:left w:val="none" w:sz="0" w:space="0" w:color="auto"/>
            <w:bottom w:val="none" w:sz="0" w:space="0" w:color="auto"/>
            <w:right w:val="none" w:sz="0" w:space="0" w:color="auto"/>
          </w:divBdr>
        </w:div>
      </w:divsChild>
    </w:div>
    <w:div w:id="636186743">
      <w:bodyDiv w:val="1"/>
      <w:marLeft w:val="0"/>
      <w:marRight w:val="0"/>
      <w:marTop w:val="0"/>
      <w:marBottom w:val="0"/>
      <w:divBdr>
        <w:top w:val="none" w:sz="0" w:space="0" w:color="auto"/>
        <w:left w:val="none" w:sz="0" w:space="0" w:color="auto"/>
        <w:bottom w:val="none" w:sz="0" w:space="0" w:color="auto"/>
        <w:right w:val="none" w:sz="0" w:space="0" w:color="auto"/>
      </w:divBdr>
      <w:divsChild>
        <w:div w:id="934095110">
          <w:marLeft w:val="0"/>
          <w:marRight w:val="0"/>
          <w:marTop w:val="0"/>
          <w:marBottom w:val="0"/>
          <w:divBdr>
            <w:top w:val="none" w:sz="0" w:space="0" w:color="auto"/>
            <w:left w:val="none" w:sz="0" w:space="0" w:color="auto"/>
            <w:bottom w:val="none" w:sz="0" w:space="0" w:color="auto"/>
            <w:right w:val="none" w:sz="0" w:space="0" w:color="auto"/>
          </w:divBdr>
        </w:div>
        <w:div w:id="1560826595">
          <w:marLeft w:val="0"/>
          <w:marRight w:val="0"/>
          <w:marTop w:val="0"/>
          <w:marBottom w:val="0"/>
          <w:divBdr>
            <w:top w:val="none" w:sz="0" w:space="0" w:color="auto"/>
            <w:left w:val="none" w:sz="0" w:space="0" w:color="auto"/>
            <w:bottom w:val="none" w:sz="0" w:space="0" w:color="auto"/>
            <w:right w:val="none" w:sz="0" w:space="0" w:color="auto"/>
          </w:divBdr>
        </w:div>
        <w:div w:id="2098747075">
          <w:marLeft w:val="0"/>
          <w:marRight w:val="0"/>
          <w:marTop w:val="0"/>
          <w:marBottom w:val="0"/>
          <w:divBdr>
            <w:top w:val="none" w:sz="0" w:space="0" w:color="auto"/>
            <w:left w:val="none" w:sz="0" w:space="0" w:color="auto"/>
            <w:bottom w:val="none" w:sz="0" w:space="0" w:color="auto"/>
            <w:right w:val="none" w:sz="0" w:space="0" w:color="auto"/>
          </w:divBdr>
        </w:div>
        <w:div w:id="261687468">
          <w:marLeft w:val="0"/>
          <w:marRight w:val="0"/>
          <w:marTop w:val="0"/>
          <w:marBottom w:val="0"/>
          <w:divBdr>
            <w:top w:val="none" w:sz="0" w:space="0" w:color="auto"/>
            <w:left w:val="none" w:sz="0" w:space="0" w:color="auto"/>
            <w:bottom w:val="none" w:sz="0" w:space="0" w:color="auto"/>
            <w:right w:val="none" w:sz="0" w:space="0" w:color="auto"/>
          </w:divBdr>
        </w:div>
        <w:div w:id="870384536">
          <w:marLeft w:val="0"/>
          <w:marRight w:val="0"/>
          <w:marTop w:val="0"/>
          <w:marBottom w:val="0"/>
          <w:divBdr>
            <w:top w:val="none" w:sz="0" w:space="0" w:color="auto"/>
            <w:left w:val="none" w:sz="0" w:space="0" w:color="auto"/>
            <w:bottom w:val="none" w:sz="0" w:space="0" w:color="auto"/>
            <w:right w:val="none" w:sz="0" w:space="0" w:color="auto"/>
          </w:divBdr>
        </w:div>
        <w:div w:id="1809319958">
          <w:marLeft w:val="0"/>
          <w:marRight w:val="0"/>
          <w:marTop w:val="0"/>
          <w:marBottom w:val="0"/>
          <w:divBdr>
            <w:top w:val="none" w:sz="0" w:space="0" w:color="auto"/>
            <w:left w:val="none" w:sz="0" w:space="0" w:color="auto"/>
            <w:bottom w:val="none" w:sz="0" w:space="0" w:color="auto"/>
            <w:right w:val="none" w:sz="0" w:space="0" w:color="auto"/>
          </w:divBdr>
        </w:div>
        <w:div w:id="984234098">
          <w:marLeft w:val="0"/>
          <w:marRight w:val="0"/>
          <w:marTop w:val="0"/>
          <w:marBottom w:val="0"/>
          <w:divBdr>
            <w:top w:val="none" w:sz="0" w:space="0" w:color="auto"/>
            <w:left w:val="none" w:sz="0" w:space="0" w:color="auto"/>
            <w:bottom w:val="none" w:sz="0" w:space="0" w:color="auto"/>
            <w:right w:val="none" w:sz="0" w:space="0" w:color="auto"/>
          </w:divBdr>
        </w:div>
        <w:div w:id="37122672">
          <w:marLeft w:val="0"/>
          <w:marRight w:val="0"/>
          <w:marTop w:val="0"/>
          <w:marBottom w:val="0"/>
          <w:divBdr>
            <w:top w:val="none" w:sz="0" w:space="0" w:color="auto"/>
            <w:left w:val="none" w:sz="0" w:space="0" w:color="auto"/>
            <w:bottom w:val="none" w:sz="0" w:space="0" w:color="auto"/>
            <w:right w:val="none" w:sz="0" w:space="0" w:color="auto"/>
          </w:divBdr>
        </w:div>
        <w:div w:id="1253858376">
          <w:marLeft w:val="0"/>
          <w:marRight w:val="0"/>
          <w:marTop w:val="0"/>
          <w:marBottom w:val="0"/>
          <w:divBdr>
            <w:top w:val="none" w:sz="0" w:space="0" w:color="auto"/>
            <w:left w:val="none" w:sz="0" w:space="0" w:color="auto"/>
            <w:bottom w:val="none" w:sz="0" w:space="0" w:color="auto"/>
            <w:right w:val="none" w:sz="0" w:space="0" w:color="auto"/>
          </w:divBdr>
        </w:div>
        <w:div w:id="1813865795">
          <w:marLeft w:val="0"/>
          <w:marRight w:val="0"/>
          <w:marTop w:val="0"/>
          <w:marBottom w:val="0"/>
          <w:divBdr>
            <w:top w:val="none" w:sz="0" w:space="0" w:color="auto"/>
            <w:left w:val="none" w:sz="0" w:space="0" w:color="auto"/>
            <w:bottom w:val="none" w:sz="0" w:space="0" w:color="auto"/>
            <w:right w:val="none" w:sz="0" w:space="0" w:color="auto"/>
          </w:divBdr>
        </w:div>
        <w:div w:id="1717848939">
          <w:marLeft w:val="0"/>
          <w:marRight w:val="0"/>
          <w:marTop w:val="0"/>
          <w:marBottom w:val="0"/>
          <w:divBdr>
            <w:top w:val="none" w:sz="0" w:space="0" w:color="auto"/>
            <w:left w:val="none" w:sz="0" w:space="0" w:color="auto"/>
            <w:bottom w:val="none" w:sz="0" w:space="0" w:color="auto"/>
            <w:right w:val="none" w:sz="0" w:space="0" w:color="auto"/>
          </w:divBdr>
        </w:div>
        <w:div w:id="1482387079">
          <w:marLeft w:val="0"/>
          <w:marRight w:val="0"/>
          <w:marTop w:val="0"/>
          <w:marBottom w:val="0"/>
          <w:divBdr>
            <w:top w:val="none" w:sz="0" w:space="0" w:color="auto"/>
            <w:left w:val="none" w:sz="0" w:space="0" w:color="auto"/>
            <w:bottom w:val="none" w:sz="0" w:space="0" w:color="auto"/>
            <w:right w:val="none" w:sz="0" w:space="0" w:color="auto"/>
          </w:divBdr>
        </w:div>
        <w:div w:id="1367943780">
          <w:marLeft w:val="0"/>
          <w:marRight w:val="0"/>
          <w:marTop w:val="0"/>
          <w:marBottom w:val="0"/>
          <w:divBdr>
            <w:top w:val="none" w:sz="0" w:space="0" w:color="auto"/>
            <w:left w:val="none" w:sz="0" w:space="0" w:color="auto"/>
            <w:bottom w:val="none" w:sz="0" w:space="0" w:color="auto"/>
            <w:right w:val="none" w:sz="0" w:space="0" w:color="auto"/>
          </w:divBdr>
        </w:div>
        <w:div w:id="1567842663">
          <w:marLeft w:val="0"/>
          <w:marRight w:val="0"/>
          <w:marTop w:val="0"/>
          <w:marBottom w:val="0"/>
          <w:divBdr>
            <w:top w:val="none" w:sz="0" w:space="0" w:color="auto"/>
            <w:left w:val="none" w:sz="0" w:space="0" w:color="auto"/>
            <w:bottom w:val="none" w:sz="0" w:space="0" w:color="auto"/>
            <w:right w:val="none" w:sz="0" w:space="0" w:color="auto"/>
          </w:divBdr>
        </w:div>
        <w:div w:id="1392385542">
          <w:marLeft w:val="0"/>
          <w:marRight w:val="0"/>
          <w:marTop w:val="0"/>
          <w:marBottom w:val="0"/>
          <w:divBdr>
            <w:top w:val="none" w:sz="0" w:space="0" w:color="auto"/>
            <w:left w:val="none" w:sz="0" w:space="0" w:color="auto"/>
            <w:bottom w:val="none" w:sz="0" w:space="0" w:color="auto"/>
            <w:right w:val="none" w:sz="0" w:space="0" w:color="auto"/>
          </w:divBdr>
        </w:div>
        <w:div w:id="1712923234">
          <w:marLeft w:val="0"/>
          <w:marRight w:val="0"/>
          <w:marTop w:val="0"/>
          <w:marBottom w:val="0"/>
          <w:divBdr>
            <w:top w:val="none" w:sz="0" w:space="0" w:color="auto"/>
            <w:left w:val="none" w:sz="0" w:space="0" w:color="auto"/>
            <w:bottom w:val="none" w:sz="0" w:space="0" w:color="auto"/>
            <w:right w:val="none" w:sz="0" w:space="0" w:color="auto"/>
          </w:divBdr>
        </w:div>
        <w:div w:id="715161479">
          <w:marLeft w:val="0"/>
          <w:marRight w:val="0"/>
          <w:marTop w:val="0"/>
          <w:marBottom w:val="0"/>
          <w:divBdr>
            <w:top w:val="none" w:sz="0" w:space="0" w:color="auto"/>
            <w:left w:val="none" w:sz="0" w:space="0" w:color="auto"/>
            <w:bottom w:val="none" w:sz="0" w:space="0" w:color="auto"/>
            <w:right w:val="none" w:sz="0" w:space="0" w:color="auto"/>
          </w:divBdr>
        </w:div>
        <w:div w:id="2112388269">
          <w:marLeft w:val="0"/>
          <w:marRight w:val="0"/>
          <w:marTop w:val="0"/>
          <w:marBottom w:val="0"/>
          <w:divBdr>
            <w:top w:val="none" w:sz="0" w:space="0" w:color="auto"/>
            <w:left w:val="none" w:sz="0" w:space="0" w:color="auto"/>
            <w:bottom w:val="none" w:sz="0" w:space="0" w:color="auto"/>
            <w:right w:val="none" w:sz="0" w:space="0" w:color="auto"/>
          </w:divBdr>
        </w:div>
        <w:div w:id="949433722">
          <w:marLeft w:val="0"/>
          <w:marRight w:val="0"/>
          <w:marTop w:val="0"/>
          <w:marBottom w:val="0"/>
          <w:divBdr>
            <w:top w:val="none" w:sz="0" w:space="0" w:color="auto"/>
            <w:left w:val="none" w:sz="0" w:space="0" w:color="auto"/>
            <w:bottom w:val="none" w:sz="0" w:space="0" w:color="auto"/>
            <w:right w:val="none" w:sz="0" w:space="0" w:color="auto"/>
          </w:divBdr>
        </w:div>
        <w:div w:id="339160023">
          <w:marLeft w:val="0"/>
          <w:marRight w:val="0"/>
          <w:marTop w:val="0"/>
          <w:marBottom w:val="0"/>
          <w:divBdr>
            <w:top w:val="none" w:sz="0" w:space="0" w:color="auto"/>
            <w:left w:val="none" w:sz="0" w:space="0" w:color="auto"/>
            <w:bottom w:val="none" w:sz="0" w:space="0" w:color="auto"/>
            <w:right w:val="none" w:sz="0" w:space="0" w:color="auto"/>
          </w:divBdr>
        </w:div>
        <w:div w:id="1618024105">
          <w:marLeft w:val="0"/>
          <w:marRight w:val="0"/>
          <w:marTop w:val="0"/>
          <w:marBottom w:val="0"/>
          <w:divBdr>
            <w:top w:val="none" w:sz="0" w:space="0" w:color="auto"/>
            <w:left w:val="none" w:sz="0" w:space="0" w:color="auto"/>
            <w:bottom w:val="none" w:sz="0" w:space="0" w:color="auto"/>
            <w:right w:val="none" w:sz="0" w:space="0" w:color="auto"/>
          </w:divBdr>
        </w:div>
        <w:div w:id="1576015901">
          <w:marLeft w:val="0"/>
          <w:marRight w:val="0"/>
          <w:marTop w:val="0"/>
          <w:marBottom w:val="0"/>
          <w:divBdr>
            <w:top w:val="none" w:sz="0" w:space="0" w:color="auto"/>
            <w:left w:val="none" w:sz="0" w:space="0" w:color="auto"/>
            <w:bottom w:val="none" w:sz="0" w:space="0" w:color="auto"/>
            <w:right w:val="none" w:sz="0" w:space="0" w:color="auto"/>
          </w:divBdr>
        </w:div>
        <w:div w:id="471024247">
          <w:marLeft w:val="0"/>
          <w:marRight w:val="0"/>
          <w:marTop w:val="0"/>
          <w:marBottom w:val="0"/>
          <w:divBdr>
            <w:top w:val="none" w:sz="0" w:space="0" w:color="auto"/>
            <w:left w:val="none" w:sz="0" w:space="0" w:color="auto"/>
            <w:bottom w:val="none" w:sz="0" w:space="0" w:color="auto"/>
            <w:right w:val="none" w:sz="0" w:space="0" w:color="auto"/>
          </w:divBdr>
        </w:div>
        <w:div w:id="1855459793">
          <w:marLeft w:val="0"/>
          <w:marRight w:val="0"/>
          <w:marTop w:val="0"/>
          <w:marBottom w:val="0"/>
          <w:divBdr>
            <w:top w:val="none" w:sz="0" w:space="0" w:color="auto"/>
            <w:left w:val="none" w:sz="0" w:space="0" w:color="auto"/>
            <w:bottom w:val="none" w:sz="0" w:space="0" w:color="auto"/>
            <w:right w:val="none" w:sz="0" w:space="0" w:color="auto"/>
          </w:divBdr>
        </w:div>
        <w:div w:id="49692000">
          <w:marLeft w:val="0"/>
          <w:marRight w:val="0"/>
          <w:marTop w:val="0"/>
          <w:marBottom w:val="0"/>
          <w:divBdr>
            <w:top w:val="none" w:sz="0" w:space="0" w:color="auto"/>
            <w:left w:val="none" w:sz="0" w:space="0" w:color="auto"/>
            <w:bottom w:val="none" w:sz="0" w:space="0" w:color="auto"/>
            <w:right w:val="none" w:sz="0" w:space="0" w:color="auto"/>
          </w:divBdr>
        </w:div>
        <w:div w:id="771631821">
          <w:marLeft w:val="0"/>
          <w:marRight w:val="0"/>
          <w:marTop w:val="0"/>
          <w:marBottom w:val="0"/>
          <w:divBdr>
            <w:top w:val="none" w:sz="0" w:space="0" w:color="auto"/>
            <w:left w:val="none" w:sz="0" w:space="0" w:color="auto"/>
            <w:bottom w:val="none" w:sz="0" w:space="0" w:color="auto"/>
            <w:right w:val="none" w:sz="0" w:space="0" w:color="auto"/>
          </w:divBdr>
        </w:div>
        <w:div w:id="294289234">
          <w:marLeft w:val="0"/>
          <w:marRight w:val="0"/>
          <w:marTop w:val="0"/>
          <w:marBottom w:val="0"/>
          <w:divBdr>
            <w:top w:val="none" w:sz="0" w:space="0" w:color="auto"/>
            <w:left w:val="none" w:sz="0" w:space="0" w:color="auto"/>
            <w:bottom w:val="none" w:sz="0" w:space="0" w:color="auto"/>
            <w:right w:val="none" w:sz="0" w:space="0" w:color="auto"/>
          </w:divBdr>
        </w:div>
        <w:div w:id="673344904">
          <w:marLeft w:val="0"/>
          <w:marRight w:val="0"/>
          <w:marTop w:val="0"/>
          <w:marBottom w:val="0"/>
          <w:divBdr>
            <w:top w:val="none" w:sz="0" w:space="0" w:color="auto"/>
            <w:left w:val="none" w:sz="0" w:space="0" w:color="auto"/>
            <w:bottom w:val="none" w:sz="0" w:space="0" w:color="auto"/>
            <w:right w:val="none" w:sz="0" w:space="0" w:color="auto"/>
          </w:divBdr>
        </w:div>
      </w:divsChild>
    </w:div>
    <w:div w:id="1190948555">
      <w:bodyDiv w:val="1"/>
      <w:marLeft w:val="0"/>
      <w:marRight w:val="0"/>
      <w:marTop w:val="0"/>
      <w:marBottom w:val="0"/>
      <w:divBdr>
        <w:top w:val="none" w:sz="0" w:space="0" w:color="auto"/>
        <w:left w:val="none" w:sz="0" w:space="0" w:color="auto"/>
        <w:bottom w:val="none" w:sz="0" w:space="0" w:color="auto"/>
        <w:right w:val="none" w:sz="0" w:space="0" w:color="auto"/>
      </w:divBdr>
    </w:div>
    <w:div w:id="1313874829">
      <w:bodyDiv w:val="1"/>
      <w:marLeft w:val="0"/>
      <w:marRight w:val="0"/>
      <w:marTop w:val="0"/>
      <w:marBottom w:val="0"/>
      <w:divBdr>
        <w:top w:val="none" w:sz="0" w:space="0" w:color="auto"/>
        <w:left w:val="none" w:sz="0" w:space="0" w:color="auto"/>
        <w:bottom w:val="none" w:sz="0" w:space="0" w:color="auto"/>
        <w:right w:val="none" w:sz="0" w:space="0" w:color="auto"/>
      </w:divBdr>
      <w:divsChild>
        <w:div w:id="1002782951">
          <w:marLeft w:val="0"/>
          <w:marRight w:val="0"/>
          <w:marTop w:val="0"/>
          <w:marBottom w:val="0"/>
          <w:divBdr>
            <w:top w:val="none" w:sz="0" w:space="0" w:color="auto"/>
            <w:left w:val="none" w:sz="0" w:space="0" w:color="auto"/>
            <w:bottom w:val="none" w:sz="0" w:space="0" w:color="auto"/>
            <w:right w:val="none" w:sz="0" w:space="0" w:color="auto"/>
          </w:divBdr>
        </w:div>
        <w:div w:id="142742180">
          <w:marLeft w:val="0"/>
          <w:marRight w:val="0"/>
          <w:marTop w:val="0"/>
          <w:marBottom w:val="0"/>
          <w:divBdr>
            <w:top w:val="none" w:sz="0" w:space="0" w:color="auto"/>
            <w:left w:val="none" w:sz="0" w:space="0" w:color="auto"/>
            <w:bottom w:val="none" w:sz="0" w:space="0" w:color="auto"/>
            <w:right w:val="none" w:sz="0" w:space="0" w:color="auto"/>
          </w:divBdr>
        </w:div>
        <w:div w:id="829323775">
          <w:marLeft w:val="0"/>
          <w:marRight w:val="0"/>
          <w:marTop w:val="0"/>
          <w:marBottom w:val="0"/>
          <w:divBdr>
            <w:top w:val="none" w:sz="0" w:space="0" w:color="auto"/>
            <w:left w:val="none" w:sz="0" w:space="0" w:color="auto"/>
            <w:bottom w:val="none" w:sz="0" w:space="0" w:color="auto"/>
            <w:right w:val="none" w:sz="0" w:space="0" w:color="auto"/>
          </w:divBdr>
        </w:div>
        <w:div w:id="1512909672">
          <w:marLeft w:val="0"/>
          <w:marRight w:val="0"/>
          <w:marTop w:val="0"/>
          <w:marBottom w:val="0"/>
          <w:divBdr>
            <w:top w:val="none" w:sz="0" w:space="0" w:color="auto"/>
            <w:left w:val="none" w:sz="0" w:space="0" w:color="auto"/>
            <w:bottom w:val="none" w:sz="0" w:space="0" w:color="auto"/>
            <w:right w:val="none" w:sz="0" w:space="0" w:color="auto"/>
          </w:divBdr>
        </w:div>
        <w:div w:id="1215235973">
          <w:marLeft w:val="0"/>
          <w:marRight w:val="0"/>
          <w:marTop w:val="0"/>
          <w:marBottom w:val="0"/>
          <w:divBdr>
            <w:top w:val="none" w:sz="0" w:space="0" w:color="auto"/>
            <w:left w:val="none" w:sz="0" w:space="0" w:color="auto"/>
            <w:bottom w:val="none" w:sz="0" w:space="0" w:color="auto"/>
            <w:right w:val="none" w:sz="0" w:space="0" w:color="auto"/>
          </w:divBdr>
        </w:div>
        <w:div w:id="11491185">
          <w:marLeft w:val="0"/>
          <w:marRight w:val="0"/>
          <w:marTop w:val="0"/>
          <w:marBottom w:val="0"/>
          <w:divBdr>
            <w:top w:val="none" w:sz="0" w:space="0" w:color="auto"/>
            <w:left w:val="none" w:sz="0" w:space="0" w:color="auto"/>
            <w:bottom w:val="none" w:sz="0" w:space="0" w:color="auto"/>
            <w:right w:val="none" w:sz="0" w:space="0" w:color="auto"/>
          </w:divBdr>
        </w:div>
        <w:div w:id="559095512">
          <w:marLeft w:val="0"/>
          <w:marRight w:val="0"/>
          <w:marTop w:val="0"/>
          <w:marBottom w:val="0"/>
          <w:divBdr>
            <w:top w:val="none" w:sz="0" w:space="0" w:color="auto"/>
            <w:left w:val="none" w:sz="0" w:space="0" w:color="auto"/>
            <w:bottom w:val="none" w:sz="0" w:space="0" w:color="auto"/>
            <w:right w:val="none" w:sz="0" w:space="0" w:color="auto"/>
          </w:divBdr>
        </w:div>
      </w:divsChild>
    </w:div>
    <w:div w:id="1366447844">
      <w:bodyDiv w:val="1"/>
      <w:marLeft w:val="0"/>
      <w:marRight w:val="0"/>
      <w:marTop w:val="0"/>
      <w:marBottom w:val="0"/>
      <w:divBdr>
        <w:top w:val="none" w:sz="0" w:space="0" w:color="auto"/>
        <w:left w:val="none" w:sz="0" w:space="0" w:color="auto"/>
        <w:bottom w:val="none" w:sz="0" w:space="0" w:color="auto"/>
        <w:right w:val="none" w:sz="0" w:space="0" w:color="auto"/>
      </w:divBdr>
    </w:div>
    <w:div w:id="1389260291">
      <w:bodyDiv w:val="1"/>
      <w:marLeft w:val="0"/>
      <w:marRight w:val="0"/>
      <w:marTop w:val="0"/>
      <w:marBottom w:val="0"/>
      <w:divBdr>
        <w:top w:val="none" w:sz="0" w:space="0" w:color="auto"/>
        <w:left w:val="none" w:sz="0" w:space="0" w:color="auto"/>
        <w:bottom w:val="none" w:sz="0" w:space="0" w:color="auto"/>
        <w:right w:val="none" w:sz="0" w:space="0" w:color="auto"/>
      </w:divBdr>
      <w:divsChild>
        <w:div w:id="1857379046">
          <w:marLeft w:val="0"/>
          <w:marRight w:val="0"/>
          <w:marTop w:val="0"/>
          <w:marBottom w:val="0"/>
          <w:divBdr>
            <w:top w:val="none" w:sz="0" w:space="0" w:color="auto"/>
            <w:left w:val="none" w:sz="0" w:space="0" w:color="auto"/>
            <w:bottom w:val="none" w:sz="0" w:space="0" w:color="auto"/>
            <w:right w:val="none" w:sz="0" w:space="0" w:color="auto"/>
          </w:divBdr>
        </w:div>
        <w:div w:id="1122991458">
          <w:marLeft w:val="0"/>
          <w:marRight w:val="0"/>
          <w:marTop w:val="0"/>
          <w:marBottom w:val="0"/>
          <w:divBdr>
            <w:top w:val="none" w:sz="0" w:space="0" w:color="auto"/>
            <w:left w:val="none" w:sz="0" w:space="0" w:color="auto"/>
            <w:bottom w:val="none" w:sz="0" w:space="0" w:color="auto"/>
            <w:right w:val="none" w:sz="0" w:space="0" w:color="auto"/>
          </w:divBdr>
        </w:div>
        <w:div w:id="886646320">
          <w:marLeft w:val="0"/>
          <w:marRight w:val="0"/>
          <w:marTop w:val="0"/>
          <w:marBottom w:val="0"/>
          <w:divBdr>
            <w:top w:val="none" w:sz="0" w:space="0" w:color="auto"/>
            <w:left w:val="none" w:sz="0" w:space="0" w:color="auto"/>
            <w:bottom w:val="none" w:sz="0" w:space="0" w:color="auto"/>
            <w:right w:val="none" w:sz="0" w:space="0" w:color="auto"/>
          </w:divBdr>
        </w:div>
        <w:div w:id="68045788">
          <w:marLeft w:val="0"/>
          <w:marRight w:val="0"/>
          <w:marTop w:val="0"/>
          <w:marBottom w:val="0"/>
          <w:divBdr>
            <w:top w:val="none" w:sz="0" w:space="0" w:color="auto"/>
            <w:left w:val="none" w:sz="0" w:space="0" w:color="auto"/>
            <w:bottom w:val="none" w:sz="0" w:space="0" w:color="auto"/>
            <w:right w:val="none" w:sz="0" w:space="0" w:color="auto"/>
          </w:divBdr>
        </w:div>
      </w:divsChild>
    </w:div>
    <w:div w:id="1403068751">
      <w:bodyDiv w:val="1"/>
      <w:marLeft w:val="0"/>
      <w:marRight w:val="0"/>
      <w:marTop w:val="0"/>
      <w:marBottom w:val="0"/>
      <w:divBdr>
        <w:top w:val="none" w:sz="0" w:space="0" w:color="auto"/>
        <w:left w:val="none" w:sz="0" w:space="0" w:color="auto"/>
        <w:bottom w:val="none" w:sz="0" w:space="0" w:color="auto"/>
        <w:right w:val="none" w:sz="0" w:space="0" w:color="auto"/>
      </w:divBdr>
      <w:divsChild>
        <w:div w:id="1149132993">
          <w:marLeft w:val="0"/>
          <w:marRight w:val="0"/>
          <w:marTop w:val="0"/>
          <w:marBottom w:val="0"/>
          <w:divBdr>
            <w:top w:val="none" w:sz="0" w:space="0" w:color="auto"/>
            <w:left w:val="none" w:sz="0" w:space="0" w:color="auto"/>
            <w:bottom w:val="none" w:sz="0" w:space="0" w:color="auto"/>
            <w:right w:val="none" w:sz="0" w:space="0" w:color="auto"/>
          </w:divBdr>
        </w:div>
        <w:div w:id="1677146379">
          <w:marLeft w:val="0"/>
          <w:marRight w:val="0"/>
          <w:marTop w:val="0"/>
          <w:marBottom w:val="0"/>
          <w:divBdr>
            <w:top w:val="none" w:sz="0" w:space="0" w:color="auto"/>
            <w:left w:val="none" w:sz="0" w:space="0" w:color="auto"/>
            <w:bottom w:val="none" w:sz="0" w:space="0" w:color="auto"/>
            <w:right w:val="none" w:sz="0" w:space="0" w:color="auto"/>
          </w:divBdr>
        </w:div>
        <w:div w:id="1894611862">
          <w:marLeft w:val="0"/>
          <w:marRight w:val="0"/>
          <w:marTop w:val="0"/>
          <w:marBottom w:val="0"/>
          <w:divBdr>
            <w:top w:val="none" w:sz="0" w:space="0" w:color="auto"/>
            <w:left w:val="none" w:sz="0" w:space="0" w:color="auto"/>
            <w:bottom w:val="none" w:sz="0" w:space="0" w:color="auto"/>
            <w:right w:val="none" w:sz="0" w:space="0" w:color="auto"/>
          </w:divBdr>
        </w:div>
      </w:divsChild>
    </w:div>
    <w:div w:id="1534270799">
      <w:bodyDiv w:val="1"/>
      <w:marLeft w:val="0"/>
      <w:marRight w:val="0"/>
      <w:marTop w:val="0"/>
      <w:marBottom w:val="0"/>
      <w:divBdr>
        <w:top w:val="none" w:sz="0" w:space="0" w:color="auto"/>
        <w:left w:val="none" w:sz="0" w:space="0" w:color="auto"/>
        <w:bottom w:val="none" w:sz="0" w:space="0" w:color="auto"/>
        <w:right w:val="none" w:sz="0" w:space="0" w:color="auto"/>
      </w:divBdr>
      <w:divsChild>
        <w:div w:id="1697541170">
          <w:marLeft w:val="0"/>
          <w:marRight w:val="0"/>
          <w:marTop w:val="0"/>
          <w:marBottom w:val="0"/>
          <w:divBdr>
            <w:top w:val="none" w:sz="0" w:space="0" w:color="auto"/>
            <w:left w:val="none" w:sz="0" w:space="0" w:color="auto"/>
            <w:bottom w:val="none" w:sz="0" w:space="0" w:color="auto"/>
            <w:right w:val="none" w:sz="0" w:space="0" w:color="auto"/>
          </w:divBdr>
        </w:div>
        <w:div w:id="1804732834">
          <w:marLeft w:val="0"/>
          <w:marRight w:val="0"/>
          <w:marTop w:val="0"/>
          <w:marBottom w:val="0"/>
          <w:divBdr>
            <w:top w:val="none" w:sz="0" w:space="0" w:color="auto"/>
            <w:left w:val="none" w:sz="0" w:space="0" w:color="auto"/>
            <w:bottom w:val="none" w:sz="0" w:space="0" w:color="auto"/>
            <w:right w:val="none" w:sz="0" w:space="0" w:color="auto"/>
          </w:divBdr>
        </w:div>
        <w:div w:id="265235679">
          <w:marLeft w:val="0"/>
          <w:marRight w:val="0"/>
          <w:marTop w:val="0"/>
          <w:marBottom w:val="0"/>
          <w:divBdr>
            <w:top w:val="none" w:sz="0" w:space="0" w:color="auto"/>
            <w:left w:val="none" w:sz="0" w:space="0" w:color="auto"/>
            <w:bottom w:val="none" w:sz="0" w:space="0" w:color="auto"/>
            <w:right w:val="none" w:sz="0" w:space="0" w:color="auto"/>
          </w:divBdr>
        </w:div>
        <w:div w:id="224071951">
          <w:marLeft w:val="0"/>
          <w:marRight w:val="0"/>
          <w:marTop w:val="0"/>
          <w:marBottom w:val="0"/>
          <w:divBdr>
            <w:top w:val="none" w:sz="0" w:space="0" w:color="auto"/>
            <w:left w:val="none" w:sz="0" w:space="0" w:color="auto"/>
            <w:bottom w:val="none" w:sz="0" w:space="0" w:color="auto"/>
            <w:right w:val="none" w:sz="0" w:space="0" w:color="auto"/>
          </w:divBdr>
        </w:div>
        <w:div w:id="185605682">
          <w:marLeft w:val="0"/>
          <w:marRight w:val="0"/>
          <w:marTop w:val="0"/>
          <w:marBottom w:val="0"/>
          <w:divBdr>
            <w:top w:val="none" w:sz="0" w:space="0" w:color="auto"/>
            <w:left w:val="none" w:sz="0" w:space="0" w:color="auto"/>
            <w:bottom w:val="none" w:sz="0" w:space="0" w:color="auto"/>
            <w:right w:val="none" w:sz="0" w:space="0" w:color="auto"/>
          </w:divBdr>
        </w:div>
        <w:div w:id="1742020335">
          <w:marLeft w:val="0"/>
          <w:marRight w:val="0"/>
          <w:marTop w:val="0"/>
          <w:marBottom w:val="0"/>
          <w:divBdr>
            <w:top w:val="none" w:sz="0" w:space="0" w:color="auto"/>
            <w:left w:val="none" w:sz="0" w:space="0" w:color="auto"/>
            <w:bottom w:val="none" w:sz="0" w:space="0" w:color="auto"/>
            <w:right w:val="none" w:sz="0" w:space="0" w:color="auto"/>
          </w:divBdr>
        </w:div>
        <w:div w:id="970480776">
          <w:marLeft w:val="0"/>
          <w:marRight w:val="0"/>
          <w:marTop w:val="0"/>
          <w:marBottom w:val="0"/>
          <w:divBdr>
            <w:top w:val="none" w:sz="0" w:space="0" w:color="auto"/>
            <w:left w:val="none" w:sz="0" w:space="0" w:color="auto"/>
            <w:bottom w:val="none" w:sz="0" w:space="0" w:color="auto"/>
            <w:right w:val="none" w:sz="0" w:space="0" w:color="auto"/>
          </w:divBdr>
        </w:div>
        <w:div w:id="1396998">
          <w:marLeft w:val="0"/>
          <w:marRight w:val="0"/>
          <w:marTop w:val="0"/>
          <w:marBottom w:val="0"/>
          <w:divBdr>
            <w:top w:val="none" w:sz="0" w:space="0" w:color="auto"/>
            <w:left w:val="none" w:sz="0" w:space="0" w:color="auto"/>
            <w:bottom w:val="none" w:sz="0" w:space="0" w:color="auto"/>
            <w:right w:val="none" w:sz="0" w:space="0" w:color="auto"/>
          </w:divBdr>
        </w:div>
        <w:div w:id="60906143">
          <w:marLeft w:val="0"/>
          <w:marRight w:val="0"/>
          <w:marTop w:val="0"/>
          <w:marBottom w:val="0"/>
          <w:divBdr>
            <w:top w:val="none" w:sz="0" w:space="0" w:color="auto"/>
            <w:left w:val="none" w:sz="0" w:space="0" w:color="auto"/>
            <w:bottom w:val="none" w:sz="0" w:space="0" w:color="auto"/>
            <w:right w:val="none" w:sz="0" w:space="0" w:color="auto"/>
          </w:divBdr>
        </w:div>
        <w:div w:id="904529938">
          <w:marLeft w:val="0"/>
          <w:marRight w:val="0"/>
          <w:marTop w:val="0"/>
          <w:marBottom w:val="0"/>
          <w:divBdr>
            <w:top w:val="none" w:sz="0" w:space="0" w:color="auto"/>
            <w:left w:val="none" w:sz="0" w:space="0" w:color="auto"/>
            <w:bottom w:val="none" w:sz="0" w:space="0" w:color="auto"/>
            <w:right w:val="none" w:sz="0" w:space="0" w:color="auto"/>
          </w:divBdr>
        </w:div>
        <w:div w:id="783841429">
          <w:marLeft w:val="0"/>
          <w:marRight w:val="0"/>
          <w:marTop w:val="0"/>
          <w:marBottom w:val="0"/>
          <w:divBdr>
            <w:top w:val="none" w:sz="0" w:space="0" w:color="auto"/>
            <w:left w:val="none" w:sz="0" w:space="0" w:color="auto"/>
            <w:bottom w:val="none" w:sz="0" w:space="0" w:color="auto"/>
            <w:right w:val="none" w:sz="0" w:space="0" w:color="auto"/>
          </w:divBdr>
        </w:div>
        <w:div w:id="575944575">
          <w:marLeft w:val="0"/>
          <w:marRight w:val="0"/>
          <w:marTop w:val="0"/>
          <w:marBottom w:val="0"/>
          <w:divBdr>
            <w:top w:val="none" w:sz="0" w:space="0" w:color="auto"/>
            <w:left w:val="none" w:sz="0" w:space="0" w:color="auto"/>
            <w:bottom w:val="none" w:sz="0" w:space="0" w:color="auto"/>
            <w:right w:val="none" w:sz="0" w:space="0" w:color="auto"/>
          </w:divBdr>
        </w:div>
        <w:div w:id="325790148">
          <w:marLeft w:val="0"/>
          <w:marRight w:val="0"/>
          <w:marTop w:val="0"/>
          <w:marBottom w:val="0"/>
          <w:divBdr>
            <w:top w:val="none" w:sz="0" w:space="0" w:color="auto"/>
            <w:left w:val="none" w:sz="0" w:space="0" w:color="auto"/>
            <w:bottom w:val="none" w:sz="0" w:space="0" w:color="auto"/>
            <w:right w:val="none" w:sz="0" w:space="0" w:color="auto"/>
          </w:divBdr>
        </w:div>
        <w:div w:id="1385249670">
          <w:marLeft w:val="0"/>
          <w:marRight w:val="0"/>
          <w:marTop w:val="0"/>
          <w:marBottom w:val="0"/>
          <w:divBdr>
            <w:top w:val="none" w:sz="0" w:space="0" w:color="auto"/>
            <w:left w:val="none" w:sz="0" w:space="0" w:color="auto"/>
            <w:bottom w:val="none" w:sz="0" w:space="0" w:color="auto"/>
            <w:right w:val="none" w:sz="0" w:space="0" w:color="auto"/>
          </w:divBdr>
        </w:div>
        <w:div w:id="528421411">
          <w:marLeft w:val="0"/>
          <w:marRight w:val="0"/>
          <w:marTop w:val="0"/>
          <w:marBottom w:val="0"/>
          <w:divBdr>
            <w:top w:val="none" w:sz="0" w:space="0" w:color="auto"/>
            <w:left w:val="none" w:sz="0" w:space="0" w:color="auto"/>
            <w:bottom w:val="none" w:sz="0" w:space="0" w:color="auto"/>
            <w:right w:val="none" w:sz="0" w:space="0" w:color="auto"/>
          </w:divBdr>
        </w:div>
        <w:div w:id="1490636483">
          <w:marLeft w:val="0"/>
          <w:marRight w:val="0"/>
          <w:marTop w:val="0"/>
          <w:marBottom w:val="0"/>
          <w:divBdr>
            <w:top w:val="none" w:sz="0" w:space="0" w:color="auto"/>
            <w:left w:val="none" w:sz="0" w:space="0" w:color="auto"/>
            <w:bottom w:val="none" w:sz="0" w:space="0" w:color="auto"/>
            <w:right w:val="none" w:sz="0" w:space="0" w:color="auto"/>
          </w:divBdr>
        </w:div>
        <w:div w:id="976759086">
          <w:marLeft w:val="0"/>
          <w:marRight w:val="0"/>
          <w:marTop w:val="0"/>
          <w:marBottom w:val="0"/>
          <w:divBdr>
            <w:top w:val="none" w:sz="0" w:space="0" w:color="auto"/>
            <w:left w:val="none" w:sz="0" w:space="0" w:color="auto"/>
            <w:bottom w:val="none" w:sz="0" w:space="0" w:color="auto"/>
            <w:right w:val="none" w:sz="0" w:space="0" w:color="auto"/>
          </w:divBdr>
        </w:div>
      </w:divsChild>
    </w:div>
    <w:div w:id="1571574177">
      <w:bodyDiv w:val="1"/>
      <w:marLeft w:val="0"/>
      <w:marRight w:val="0"/>
      <w:marTop w:val="0"/>
      <w:marBottom w:val="0"/>
      <w:divBdr>
        <w:top w:val="none" w:sz="0" w:space="0" w:color="auto"/>
        <w:left w:val="none" w:sz="0" w:space="0" w:color="auto"/>
        <w:bottom w:val="none" w:sz="0" w:space="0" w:color="auto"/>
        <w:right w:val="none" w:sz="0" w:space="0" w:color="auto"/>
      </w:divBdr>
    </w:div>
    <w:div w:id="1591040370">
      <w:bodyDiv w:val="1"/>
      <w:marLeft w:val="0"/>
      <w:marRight w:val="0"/>
      <w:marTop w:val="0"/>
      <w:marBottom w:val="0"/>
      <w:divBdr>
        <w:top w:val="none" w:sz="0" w:space="0" w:color="auto"/>
        <w:left w:val="none" w:sz="0" w:space="0" w:color="auto"/>
        <w:bottom w:val="none" w:sz="0" w:space="0" w:color="auto"/>
        <w:right w:val="none" w:sz="0" w:space="0" w:color="auto"/>
      </w:divBdr>
    </w:div>
    <w:div w:id="1708065870">
      <w:bodyDiv w:val="1"/>
      <w:marLeft w:val="0"/>
      <w:marRight w:val="0"/>
      <w:marTop w:val="0"/>
      <w:marBottom w:val="0"/>
      <w:divBdr>
        <w:top w:val="none" w:sz="0" w:space="0" w:color="auto"/>
        <w:left w:val="none" w:sz="0" w:space="0" w:color="auto"/>
        <w:bottom w:val="none" w:sz="0" w:space="0" w:color="auto"/>
        <w:right w:val="none" w:sz="0" w:space="0" w:color="auto"/>
      </w:divBdr>
      <w:divsChild>
        <w:div w:id="809634148">
          <w:marLeft w:val="0"/>
          <w:marRight w:val="0"/>
          <w:marTop w:val="0"/>
          <w:marBottom w:val="0"/>
          <w:divBdr>
            <w:top w:val="none" w:sz="0" w:space="0" w:color="auto"/>
            <w:left w:val="none" w:sz="0" w:space="0" w:color="auto"/>
            <w:bottom w:val="none" w:sz="0" w:space="0" w:color="auto"/>
            <w:right w:val="none" w:sz="0" w:space="0" w:color="auto"/>
          </w:divBdr>
        </w:div>
        <w:div w:id="1135176482">
          <w:marLeft w:val="0"/>
          <w:marRight w:val="0"/>
          <w:marTop w:val="0"/>
          <w:marBottom w:val="0"/>
          <w:divBdr>
            <w:top w:val="none" w:sz="0" w:space="0" w:color="auto"/>
            <w:left w:val="none" w:sz="0" w:space="0" w:color="auto"/>
            <w:bottom w:val="none" w:sz="0" w:space="0" w:color="auto"/>
            <w:right w:val="none" w:sz="0" w:space="0" w:color="auto"/>
          </w:divBdr>
        </w:div>
        <w:div w:id="720981578">
          <w:marLeft w:val="0"/>
          <w:marRight w:val="0"/>
          <w:marTop w:val="0"/>
          <w:marBottom w:val="0"/>
          <w:divBdr>
            <w:top w:val="none" w:sz="0" w:space="0" w:color="auto"/>
            <w:left w:val="none" w:sz="0" w:space="0" w:color="auto"/>
            <w:bottom w:val="none" w:sz="0" w:space="0" w:color="auto"/>
            <w:right w:val="none" w:sz="0" w:space="0" w:color="auto"/>
          </w:divBdr>
        </w:div>
        <w:div w:id="134685932">
          <w:marLeft w:val="0"/>
          <w:marRight w:val="0"/>
          <w:marTop w:val="0"/>
          <w:marBottom w:val="0"/>
          <w:divBdr>
            <w:top w:val="none" w:sz="0" w:space="0" w:color="auto"/>
            <w:left w:val="none" w:sz="0" w:space="0" w:color="auto"/>
            <w:bottom w:val="none" w:sz="0" w:space="0" w:color="auto"/>
            <w:right w:val="none" w:sz="0" w:space="0" w:color="auto"/>
          </w:divBdr>
        </w:div>
        <w:div w:id="1946494685">
          <w:marLeft w:val="0"/>
          <w:marRight w:val="0"/>
          <w:marTop w:val="0"/>
          <w:marBottom w:val="0"/>
          <w:divBdr>
            <w:top w:val="none" w:sz="0" w:space="0" w:color="auto"/>
            <w:left w:val="none" w:sz="0" w:space="0" w:color="auto"/>
            <w:bottom w:val="none" w:sz="0" w:space="0" w:color="auto"/>
            <w:right w:val="none" w:sz="0" w:space="0" w:color="auto"/>
          </w:divBdr>
        </w:div>
        <w:div w:id="1947955632">
          <w:marLeft w:val="0"/>
          <w:marRight w:val="0"/>
          <w:marTop w:val="0"/>
          <w:marBottom w:val="0"/>
          <w:divBdr>
            <w:top w:val="none" w:sz="0" w:space="0" w:color="auto"/>
            <w:left w:val="none" w:sz="0" w:space="0" w:color="auto"/>
            <w:bottom w:val="none" w:sz="0" w:space="0" w:color="auto"/>
            <w:right w:val="none" w:sz="0" w:space="0" w:color="auto"/>
          </w:divBdr>
        </w:div>
        <w:div w:id="417751294">
          <w:marLeft w:val="0"/>
          <w:marRight w:val="0"/>
          <w:marTop w:val="0"/>
          <w:marBottom w:val="0"/>
          <w:divBdr>
            <w:top w:val="none" w:sz="0" w:space="0" w:color="auto"/>
            <w:left w:val="none" w:sz="0" w:space="0" w:color="auto"/>
            <w:bottom w:val="none" w:sz="0" w:space="0" w:color="auto"/>
            <w:right w:val="none" w:sz="0" w:space="0" w:color="auto"/>
          </w:divBdr>
        </w:div>
        <w:div w:id="204295719">
          <w:marLeft w:val="0"/>
          <w:marRight w:val="0"/>
          <w:marTop w:val="0"/>
          <w:marBottom w:val="0"/>
          <w:divBdr>
            <w:top w:val="none" w:sz="0" w:space="0" w:color="auto"/>
            <w:left w:val="none" w:sz="0" w:space="0" w:color="auto"/>
            <w:bottom w:val="none" w:sz="0" w:space="0" w:color="auto"/>
            <w:right w:val="none" w:sz="0" w:space="0" w:color="auto"/>
          </w:divBdr>
        </w:div>
        <w:div w:id="1619068641">
          <w:marLeft w:val="0"/>
          <w:marRight w:val="0"/>
          <w:marTop w:val="0"/>
          <w:marBottom w:val="0"/>
          <w:divBdr>
            <w:top w:val="none" w:sz="0" w:space="0" w:color="auto"/>
            <w:left w:val="none" w:sz="0" w:space="0" w:color="auto"/>
            <w:bottom w:val="none" w:sz="0" w:space="0" w:color="auto"/>
            <w:right w:val="none" w:sz="0" w:space="0" w:color="auto"/>
          </w:divBdr>
        </w:div>
        <w:div w:id="1907716227">
          <w:marLeft w:val="0"/>
          <w:marRight w:val="0"/>
          <w:marTop w:val="0"/>
          <w:marBottom w:val="0"/>
          <w:divBdr>
            <w:top w:val="none" w:sz="0" w:space="0" w:color="auto"/>
            <w:left w:val="none" w:sz="0" w:space="0" w:color="auto"/>
            <w:bottom w:val="none" w:sz="0" w:space="0" w:color="auto"/>
            <w:right w:val="none" w:sz="0" w:space="0" w:color="auto"/>
          </w:divBdr>
        </w:div>
        <w:div w:id="141316011">
          <w:marLeft w:val="0"/>
          <w:marRight w:val="0"/>
          <w:marTop w:val="0"/>
          <w:marBottom w:val="0"/>
          <w:divBdr>
            <w:top w:val="none" w:sz="0" w:space="0" w:color="auto"/>
            <w:left w:val="none" w:sz="0" w:space="0" w:color="auto"/>
            <w:bottom w:val="none" w:sz="0" w:space="0" w:color="auto"/>
            <w:right w:val="none" w:sz="0" w:space="0" w:color="auto"/>
          </w:divBdr>
        </w:div>
        <w:div w:id="30694255">
          <w:marLeft w:val="0"/>
          <w:marRight w:val="0"/>
          <w:marTop w:val="0"/>
          <w:marBottom w:val="0"/>
          <w:divBdr>
            <w:top w:val="none" w:sz="0" w:space="0" w:color="auto"/>
            <w:left w:val="none" w:sz="0" w:space="0" w:color="auto"/>
            <w:bottom w:val="none" w:sz="0" w:space="0" w:color="auto"/>
            <w:right w:val="none" w:sz="0" w:space="0" w:color="auto"/>
          </w:divBdr>
        </w:div>
      </w:divsChild>
    </w:div>
    <w:div w:id="1788155517">
      <w:bodyDiv w:val="1"/>
      <w:marLeft w:val="0"/>
      <w:marRight w:val="0"/>
      <w:marTop w:val="0"/>
      <w:marBottom w:val="0"/>
      <w:divBdr>
        <w:top w:val="none" w:sz="0" w:space="0" w:color="auto"/>
        <w:left w:val="none" w:sz="0" w:space="0" w:color="auto"/>
        <w:bottom w:val="none" w:sz="0" w:space="0" w:color="auto"/>
        <w:right w:val="none" w:sz="0" w:space="0" w:color="auto"/>
      </w:divBdr>
      <w:divsChild>
        <w:div w:id="1239749282">
          <w:marLeft w:val="0"/>
          <w:marRight w:val="0"/>
          <w:marTop w:val="0"/>
          <w:marBottom w:val="0"/>
          <w:divBdr>
            <w:top w:val="none" w:sz="0" w:space="0" w:color="auto"/>
            <w:left w:val="none" w:sz="0" w:space="0" w:color="auto"/>
            <w:bottom w:val="none" w:sz="0" w:space="0" w:color="auto"/>
            <w:right w:val="none" w:sz="0" w:space="0" w:color="auto"/>
          </w:divBdr>
        </w:div>
        <w:div w:id="1875993007">
          <w:marLeft w:val="0"/>
          <w:marRight w:val="0"/>
          <w:marTop w:val="0"/>
          <w:marBottom w:val="0"/>
          <w:divBdr>
            <w:top w:val="none" w:sz="0" w:space="0" w:color="auto"/>
            <w:left w:val="none" w:sz="0" w:space="0" w:color="auto"/>
            <w:bottom w:val="none" w:sz="0" w:space="0" w:color="auto"/>
            <w:right w:val="none" w:sz="0" w:space="0" w:color="auto"/>
          </w:divBdr>
        </w:div>
        <w:div w:id="632909638">
          <w:marLeft w:val="0"/>
          <w:marRight w:val="0"/>
          <w:marTop w:val="0"/>
          <w:marBottom w:val="0"/>
          <w:divBdr>
            <w:top w:val="none" w:sz="0" w:space="0" w:color="auto"/>
            <w:left w:val="none" w:sz="0" w:space="0" w:color="auto"/>
            <w:bottom w:val="none" w:sz="0" w:space="0" w:color="auto"/>
            <w:right w:val="none" w:sz="0" w:space="0" w:color="auto"/>
          </w:divBdr>
        </w:div>
      </w:divsChild>
    </w:div>
    <w:div w:id="1972130482">
      <w:bodyDiv w:val="1"/>
      <w:marLeft w:val="0"/>
      <w:marRight w:val="0"/>
      <w:marTop w:val="0"/>
      <w:marBottom w:val="0"/>
      <w:divBdr>
        <w:top w:val="none" w:sz="0" w:space="0" w:color="auto"/>
        <w:left w:val="none" w:sz="0" w:space="0" w:color="auto"/>
        <w:bottom w:val="none" w:sz="0" w:space="0" w:color="auto"/>
        <w:right w:val="none" w:sz="0" w:space="0" w:color="auto"/>
      </w:divBdr>
    </w:div>
    <w:div w:id="2133093249">
      <w:bodyDiv w:val="1"/>
      <w:marLeft w:val="0"/>
      <w:marRight w:val="0"/>
      <w:marTop w:val="0"/>
      <w:marBottom w:val="0"/>
      <w:divBdr>
        <w:top w:val="none" w:sz="0" w:space="0" w:color="auto"/>
        <w:left w:val="none" w:sz="0" w:space="0" w:color="auto"/>
        <w:bottom w:val="none" w:sz="0" w:space="0" w:color="auto"/>
        <w:right w:val="none" w:sz="0" w:space="0" w:color="auto"/>
      </w:divBdr>
      <w:divsChild>
        <w:div w:id="240330712">
          <w:marLeft w:val="0"/>
          <w:marRight w:val="0"/>
          <w:marTop w:val="0"/>
          <w:marBottom w:val="0"/>
          <w:divBdr>
            <w:top w:val="none" w:sz="0" w:space="0" w:color="auto"/>
            <w:left w:val="none" w:sz="0" w:space="0" w:color="auto"/>
            <w:bottom w:val="none" w:sz="0" w:space="0" w:color="auto"/>
            <w:right w:val="none" w:sz="0" w:space="0" w:color="auto"/>
          </w:divBdr>
        </w:div>
        <w:div w:id="787313893">
          <w:marLeft w:val="0"/>
          <w:marRight w:val="0"/>
          <w:marTop w:val="0"/>
          <w:marBottom w:val="0"/>
          <w:divBdr>
            <w:top w:val="none" w:sz="0" w:space="0" w:color="auto"/>
            <w:left w:val="none" w:sz="0" w:space="0" w:color="auto"/>
            <w:bottom w:val="none" w:sz="0" w:space="0" w:color="auto"/>
            <w:right w:val="none" w:sz="0" w:space="0" w:color="auto"/>
          </w:divBdr>
        </w:div>
        <w:div w:id="358091881">
          <w:marLeft w:val="0"/>
          <w:marRight w:val="0"/>
          <w:marTop w:val="0"/>
          <w:marBottom w:val="0"/>
          <w:divBdr>
            <w:top w:val="none" w:sz="0" w:space="0" w:color="auto"/>
            <w:left w:val="none" w:sz="0" w:space="0" w:color="auto"/>
            <w:bottom w:val="none" w:sz="0" w:space="0" w:color="auto"/>
            <w:right w:val="none" w:sz="0" w:space="0" w:color="auto"/>
          </w:divBdr>
        </w:div>
        <w:div w:id="70189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6</Pages>
  <Words>2894</Words>
  <Characters>15628</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18</cp:revision>
  <dcterms:created xsi:type="dcterms:W3CDTF">2017-12-14T10:08:00Z</dcterms:created>
  <dcterms:modified xsi:type="dcterms:W3CDTF">2018-01-18T11:27:00Z</dcterms:modified>
</cp:coreProperties>
</file>